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420" w:firstLineChars="0"/>
        <w:jc w:val="center"/>
        <w:rPr>
          <w:rStyle w:val="11"/>
          <w:rFonts w:hint="eastAsia"/>
          <w:szCs w:val="32"/>
          <w:highlight w:val="none"/>
        </w:rPr>
      </w:pPr>
      <w:bookmarkStart w:id="0" w:name="_Toc32743"/>
      <w:bookmarkStart w:id="1" w:name="_Toc10874"/>
      <w:bookmarkStart w:id="2" w:name="_Toc29781"/>
      <w:bookmarkStart w:id="20" w:name="_GoBack"/>
      <w:bookmarkEnd w:id="20"/>
      <w:r>
        <w:rPr>
          <w:rStyle w:val="11"/>
          <w:rFonts w:hint="eastAsia"/>
          <w:szCs w:val="32"/>
          <w:highlight w:val="none"/>
        </w:rPr>
        <w:t>（二）</w:t>
      </w:r>
      <w:bookmarkStart w:id="3" w:name="_Hlk123659886"/>
      <w:r>
        <w:rPr>
          <w:rStyle w:val="11"/>
          <w:rFonts w:hint="eastAsia"/>
          <w:szCs w:val="32"/>
          <w:highlight w:val="none"/>
        </w:rPr>
        <w:t>国家火炬特色产业基地统计报表</w:t>
      </w:r>
      <w:bookmarkEnd w:id="3"/>
    </w:p>
    <w:bookmarkEnd w:id="0"/>
    <w:bookmarkEnd w:id="1"/>
    <w:bookmarkEnd w:id="2"/>
    <w:p>
      <w:pPr>
        <w:pStyle w:val="6"/>
        <w:rPr>
          <w:b w:val="0"/>
          <w:bCs w:val="0"/>
          <w:sz w:val="32"/>
          <w:highlight w:val="none"/>
        </w:rPr>
      </w:pPr>
      <w:bookmarkStart w:id="4" w:name="_Toc7691"/>
      <w:bookmarkStart w:id="5" w:name="_Toc11405"/>
      <w:bookmarkStart w:id="6" w:name="_Toc15898"/>
      <w:bookmarkStart w:id="7" w:name="_Toc3619"/>
      <w:bookmarkStart w:id="8" w:name="_Toc17894"/>
      <w:bookmarkStart w:id="9" w:name="_Toc9444"/>
      <w:bookmarkStart w:id="10" w:name="_Toc11568"/>
      <w:r>
        <w:rPr>
          <w:rFonts w:hint="eastAsia"/>
          <w:b w:val="0"/>
          <w:bCs w:val="0"/>
          <w:sz w:val="32"/>
          <w:highlight w:val="none"/>
        </w:rPr>
        <w:t>1</w:t>
      </w:r>
      <w:r>
        <w:rPr>
          <w:b w:val="0"/>
          <w:bCs w:val="0"/>
          <w:sz w:val="32"/>
          <w:highlight w:val="none"/>
        </w:rPr>
        <w:t>.国家火炬</w:t>
      </w:r>
      <w:r>
        <w:rPr>
          <w:rFonts w:hint="eastAsia"/>
          <w:b w:val="0"/>
          <w:bCs w:val="0"/>
          <w:sz w:val="32"/>
          <w:highlight w:val="none"/>
        </w:rPr>
        <w:t>特色</w:t>
      </w:r>
      <w:r>
        <w:rPr>
          <w:b w:val="0"/>
          <w:bCs w:val="0"/>
          <w:sz w:val="32"/>
          <w:highlight w:val="none"/>
        </w:rPr>
        <w:t>产业基地基本情况</w:t>
      </w:r>
      <w:bookmarkEnd w:id="4"/>
      <w:bookmarkEnd w:id="5"/>
      <w:bookmarkEnd w:id="6"/>
      <w:bookmarkEnd w:id="7"/>
      <w:bookmarkEnd w:id="8"/>
      <w:bookmarkEnd w:id="9"/>
      <w:bookmarkEnd w:id="10"/>
    </w:p>
    <w:p>
      <w:pPr>
        <w:pStyle w:val="5"/>
        <w:spacing w:line="100" w:lineRule="exact"/>
        <w:ind w:firstLine="0" w:firstLineChars="0"/>
        <w:rPr>
          <w:highlight w:val="none"/>
        </w:rPr>
      </w:pPr>
    </w:p>
    <w:p>
      <w:pPr>
        <w:spacing w:line="240" w:lineRule="exact"/>
        <w:rPr>
          <w:szCs w:val="21"/>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4390390</wp:posOffset>
                </wp:positionH>
                <wp:positionV relativeFrom="paragraph">
                  <wp:posOffset>47625</wp:posOffset>
                </wp:positionV>
                <wp:extent cx="2411730" cy="827405"/>
                <wp:effectExtent l="0" t="0" r="0" b="0"/>
                <wp:wrapNone/>
                <wp:docPr id="5" name="矩形 5"/>
                <wp:cNvGraphicFramePr/>
                <a:graphic xmlns:a="http://schemas.openxmlformats.org/drawingml/2006/main">
                  <a:graphicData uri="http://schemas.microsoft.com/office/word/2010/wordprocessingShape">
                    <wps:wsp>
                      <wps:cNvSpPr>
                        <a:spLocks noChangeArrowheads="1"/>
                      </wps:cNvSpPr>
                      <wps:spPr bwMode="auto">
                        <a:xfrm>
                          <a:off x="0" y="0"/>
                          <a:ext cx="1954530" cy="827405"/>
                        </a:xfrm>
                        <a:prstGeom prst="rect">
                          <a:avLst/>
                        </a:prstGeom>
                        <a:no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号：ＴＳＪＤ－０１</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eastAsia="Times New Roman"/>
                              </w:rPr>
                            </w:pPr>
                          </w:p>
                        </w:txbxContent>
                      </wps:txbx>
                      <wps:bodyPr rot="0" vert="horz" wrap="square" lIns="0" tIns="0" rIns="0" bIns="0" anchor="t" anchorCtr="0" upright="1">
                        <a:noAutofit/>
                      </wps:bodyPr>
                    </wps:wsp>
                  </a:graphicData>
                </a:graphic>
              </wp:anchor>
            </w:drawing>
          </mc:Choice>
          <mc:Fallback>
            <w:pict>
              <v:rect id="_x0000_s1026" o:spid="_x0000_s1026" o:spt="1" style="position:absolute;left:0pt;margin-left:345.7pt;margin-top:3.75pt;height:65.15pt;width:189.9pt;z-index:251660288;mso-width-relative:page;mso-height-relative:page;" filled="f" stroked="f" coordsize="21600,21600" o:gfxdata="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76mfd2wAAAAoBAAAPAAAAAAAAAAEAIAAAACIAAABkcnMvZG93bnJldi54bWxQSwECFAAUAAAA&#10;CACHTuJA/BCSrusBAAC4AwAADgAAAAAAAAABACAAAAAqAQAAZHJzL2Uyb0RvYy54bWxQSwUGAAAA&#10;AAYABgBZAQAAhwUAAAAA&#10;">
                <v:fill on="f" focussize="0,0"/>
                <v:stroke on="f"/>
                <v:imagedata o:title=""/>
                <o:lock v:ext="edit" aspectratio="f"/>
                <v:textbox inset="0mm,0mm,0mm,0mm">
                  <w:txbxContent>
                    <w:p>
                      <w:pPr>
                        <w:widowControl/>
                        <w:tabs>
                          <w:tab w:val="left" w:pos="2415"/>
                        </w:tabs>
                        <w:spacing w:line="240" w:lineRule="exact"/>
                        <w:jc w:val="left"/>
                        <w:rPr>
                          <w:rFonts w:hint="eastAsia" w:ascii="宋体" w:hAnsi="宋体"/>
                          <w:sz w:val="18"/>
                        </w:rPr>
                      </w:pPr>
                      <w:r>
                        <w:rPr>
                          <w:rFonts w:hint="eastAsia" w:ascii="宋体" w:hAnsi="宋体"/>
                          <w:sz w:val="18"/>
                        </w:rPr>
                        <w:t>表    号：ＴＳＪＤ－０１</w:t>
                      </w:r>
                    </w:p>
                    <w:p>
                      <w:pPr>
                        <w:widowControl/>
                        <w:tabs>
                          <w:tab w:val="left" w:pos="2415"/>
                        </w:tabs>
                        <w:spacing w:line="240" w:lineRule="exact"/>
                        <w:jc w:val="left"/>
                        <w:rPr>
                          <w:rFonts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eastAsia="Times New Roman"/>
                        </w:rPr>
                      </w:pPr>
                    </w:p>
                  </w:txbxContent>
                </v:textbox>
              </v:rect>
            </w:pict>
          </mc:Fallback>
        </mc:AlternateContent>
      </w:r>
    </w:p>
    <w:p>
      <w:pPr>
        <w:spacing w:line="240" w:lineRule="exact"/>
        <w:rPr>
          <w:szCs w:val="21"/>
          <w:highlight w:val="none"/>
        </w:rPr>
      </w:pPr>
    </w:p>
    <w:p>
      <w:pPr>
        <w:spacing w:line="240" w:lineRule="exact"/>
        <w:ind w:left="-1" w:leftChars="-200" w:hanging="419" w:hangingChars="233"/>
        <w:rPr>
          <w:sz w:val="18"/>
          <w:highlight w:val="none"/>
        </w:rPr>
      </w:pPr>
    </w:p>
    <w:p>
      <w:pPr>
        <w:pStyle w:val="7"/>
        <w:rPr>
          <w:highlight w:val="none"/>
        </w:rPr>
      </w:pPr>
    </w:p>
    <w:p>
      <w:pPr>
        <w:spacing w:line="240" w:lineRule="exact"/>
        <w:rPr>
          <w:highlight w:val="none"/>
        </w:rPr>
      </w:pPr>
      <w:r>
        <w:rPr>
          <w:rFonts w:hint="eastAsia"/>
          <w:sz w:val="18"/>
          <w:szCs w:val="20"/>
          <w:highlight w:val="none"/>
        </w:rPr>
        <w:t xml:space="preserve">  </w:t>
      </w:r>
      <w:r>
        <w:rPr>
          <w:sz w:val="18"/>
          <w:szCs w:val="20"/>
          <w:highlight w:val="none"/>
        </w:rPr>
        <w:t>综合机关名称：</w:t>
      </w:r>
      <w:r>
        <w:rPr>
          <w:rFonts w:hint="eastAsia"/>
          <w:sz w:val="18"/>
          <w:szCs w:val="20"/>
          <w:highlight w:val="none"/>
        </w:rPr>
        <w:t xml:space="preserve">    </w:t>
      </w:r>
      <w:r>
        <w:rPr>
          <w:sz w:val="18"/>
          <w:szCs w:val="20"/>
          <w:highlight w:val="none"/>
        </w:rPr>
        <w:t xml:space="preserve">   </w:t>
      </w:r>
      <w:r>
        <w:rPr>
          <w:rFonts w:hint="eastAsia"/>
          <w:sz w:val="18"/>
          <w:szCs w:val="20"/>
          <w:highlight w:val="none"/>
        </w:rPr>
        <w:t xml:space="preserve">     </w:t>
      </w:r>
      <w:r>
        <w:rPr>
          <w:sz w:val="18"/>
          <w:szCs w:val="20"/>
          <w:highlight w:val="none"/>
        </w:rPr>
        <w:t xml:space="preserve">     </w:t>
      </w:r>
      <w:r>
        <w:rPr>
          <w:rFonts w:hint="eastAsia"/>
          <w:sz w:val="18"/>
          <w:szCs w:val="20"/>
          <w:highlight w:val="none"/>
        </w:rPr>
        <w:t xml:space="preserve">              </w:t>
      </w:r>
      <w:r>
        <w:rPr>
          <w:sz w:val="18"/>
          <w:szCs w:val="20"/>
          <w:highlight w:val="none"/>
        </w:rPr>
        <w:t xml:space="preserve"> </w:t>
      </w:r>
      <w:r>
        <w:rPr>
          <w:sz w:val="18"/>
          <w:highlight w:val="none"/>
        </w:rPr>
        <w:t>２０</w:t>
      </w:r>
      <w:r>
        <w:rPr>
          <w:rFonts w:hint="eastAsia"/>
          <w:sz w:val="18"/>
          <w:highlight w:val="none"/>
        </w:rPr>
        <w:t xml:space="preserve">    </w:t>
      </w:r>
      <w:r>
        <w:rPr>
          <w:sz w:val="18"/>
          <w:highlight w:val="none"/>
        </w:rPr>
        <w:t>年</w:t>
      </w:r>
    </w:p>
    <w:tbl>
      <w:tblPr>
        <w:tblStyle w:val="10"/>
        <w:tblW w:w="9386"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032"/>
        <w:gridCol w:w="1683"/>
        <w:gridCol w:w="1650"/>
        <w:gridCol w:w="202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指标名称</w:t>
            </w:r>
          </w:p>
        </w:tc>
        <w:tc>
          <w:tcPr>
            <w:tcW w:w="1683"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vAlign w:val="center"/>
          </w:tcPr>
          <w:p>
            <w:pPr>
              <w:widowControl/>
              <w:spacing w:line="280" w:lineRule="exact"/>
              <w:jc w:val="center"/>
              <w:rPr>
                <w:rFonts w:hint="eastAsia" w:ascii="宋体" w:hAnsi="宋体" w:cs="宋体"/>
                <w:sz w:val="18"/>
                <w:szCs w:val="18"/>
                <w:highlight w:val="none"/>
              </w:rPr>
            </w:pP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bottom w:val="nil"/>
            </w:tcBorders>
            <w:vAlign w:val="center"/>
          </w:tcPr>
          <w:p>
            <w:pPr>
              <w:spacing w:line="280" w:lineRule="exact"/>
              <w:rPr>
                <w:rFonts w:hint="eastAsia" w:ascii="宋体" w:hAnsi="宋体" w:cs="宋体"/>
                <w:b/>
                <w:sz w:val="18"/>
                <w:szCs w:val="18"/>
                <w:highlight w:val="none"/>
              </w:rPr>
            </w:pPr>
            <w:r>
              <w:rPr>
                <w:rFonts w:hint="eastAsia" w:ascii="宋体" w:hAnsi="宋体" w:cs="宋体"/>
                <w:b/>
                <w:sz w:val="18"/>
                <w:szCs w:val="18"/>
                <w:highlight w:val="none"/>
              </w:rPr>
              <w:t>一、企业情况</w:t>
            </w:r>
          </w:p>
        </w:tc>
        <w:tc>
          <w:tcPr>
            <w:tcW w:w="1683"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基地内企业（附名单）</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108"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其中：高新技术企业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108"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国内上市企业（不含新三板挂牌）</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 xml:space="preserve"> TDF9A04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境外上市企业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TDF9A09</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新三板挂牌企业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208" w:leftChars="-99"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技术先进型服务企业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科技型中小企业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专精特新中小企业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专精特新“小巨人”企业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创新型中小企业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通过GB/T19001认证企业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TDF9A16</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通过GB/T19580认证企业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TDF9A17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营业收入≥10亿元企业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TDF9A05_1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 xml:space="preserve">          1亿元≤营业收入＜10亿元企业</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TDF9A05_2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二、人员情况</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基地日常管理机构正式编制人员</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TDF9B21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基地从业人员</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TDF9B00</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其中：大专及以上</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170" w:firstLineChars="650"/>
              <w:rPr>
                <w:rFonts w:hint="eastAsia" w:ascii="宋体" w:hAnsi="宋体" w:cs="宋体"/>
                <w:sz w:val="18"/>
                <w:szCs w:val="18"/>
                <w:highlight w:val="none"/>
              </w:rPr>
            </w:pPr>
            <w:r>
              <w:rPr>
                <w:rFonts w:hint="eastAsia" w:ascii="宋体" w:hAnsi="宋体" w:cs="宋体"/>
                <w:sz w:val="18"/>
                <w:szCs w:val="18"/>
                <w:highlight w:val="none"/>
              </w:rPr>
              <w:t>其中：博士</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TDF9B02</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710" w:firstLineChars="950"/>
              <w:rPr>
                <w:rFonts w:hint="eastAsia" w:ascii="宋体" w:hAnsi="宋体" w:cs="宋体"/>
                <w:sz w:val="18"/>
                <w:szCs w:val="18"/>
                <w:highlight w:val="none"/>
              </w:rPr>
            </w:pPr>
            <w:r>
              <w:rPr>
                <w:rFonts w:hint="eastAsia" w:ascii="宋体" w:hAnsi="宋体" w:cs="宋体"/>
                <w:sz w:val="18"/>
                <w:szCs w:val="18"/>
                <w:highlight w:val="none"/>
              </w:rPr>
              <w:t>硕士</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TDF9B03</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1710" w:firstLineChars="950"/>
              <w:rPr>
                <w:rFonts w:hint="eastAsia" w:ascii="宋体" w:hAnsi="宋体" w:cs="宋体"/>
                <w:sz w:val="18"/>
                <w:szCs w:val="18"/>
                <w:highlight w:val="none"/>
              </w:rPr>
            </w:pPr>
            <w:r>
              <w:rPr>
                <w:rFonts w:hint="eastAsia" w:ascii="宋体" w:hAnsi="宋体" w:cs="宋体"/>
                <w:sz w:val="18"/>
                <w:szCs w:val="18"/>
                <w:highlight w:val="none"/>
              </w:rPr>
              <w:t>本科</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TDF9B04</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76"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其中：国家级创新领军人才</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TDF9B07</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其中：省级创新领军人才</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TDF9B08</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基地企业研究开发人员</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人</w:t>
            </w:r>
          </w:p>
        </w:tc>
        <w:tc>
          <w:tcPr>
            <w:tcW w:w="1650" w:type="dxa"/>
            <w:tcBorders>
              <w:top w:val="nil"/>
              <w:left w:val="single" w:color="auto" w:sz="4" w:space="0"/>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TDF9B06</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三、服务机构情况</w:t>
            </w:r>
          </w:p>
        </w:tc>
        <w:tc>
          <w:tcPr>
            <w:tcW w:w="1683" w:type="dxa"/>
            <w:tcBorders>
              <w:top w:val="nil"/>
              <w:left w:val="single" w:color="auto" w:sz="4" w:space="0"/>
              <w:bottom w:val="nil"/>
              <w:right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left w:val="single" w:color="auto" w:sz="4" w:space="0"/>
              <w:bottom w:val="nil"/>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left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4" w:hRule="atLeast"/>
        </w:trPr>
        <w:tc>
          <w:tcPr>
            <w:tcW w:w="4032" w:type="dxa"/>
            <w:tcBorders>
              <w:top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国家工程技术研究中心（附名单）</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nil"/>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TDF9C00</w:t>
            </w:r>
          </w:p>
        </w:tc>
        <w:tc>
          <w:tcPr>
            <w:tcW w:w="2021" w:type="dxa"/>
            <w:tcBorders>
              <w:top w:val="nil"/>
              <w:left w:val="single" w:color="auto" w:sz="4" w:space="0"/>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90" w:hRule="atLeast"/>
        </w:trPr>
        <w:tc>
          <w:tcPr>
            <w:tcW w:w="4032" w:type="dxa"/>
            <w:tcBorders>
              <w:top w:val="nil"/>
              <w:bottom w:val="single" w:color="auto" w:sz="4" w:space="0"/>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国家工程研究中心（附名单）</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single" w:color="auto" w:sz="4" w:space="0"/>
              <w:right w:val="single" w:color="auto" w:sz="4" w:space="0"/>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TDF9C04</w:t>
            </w:r>
          </w:p>
        </w:tc>
        <w:tc>
          <w:tcPr>
            <w:tcW w:w="2021" w:type="dxa"/>
            <w:tcBorders>
              <w:top w:val="nil"/>
              <w:left w:val="single" w:color="auto" w:sz="4" w:space="0"/>
              <w:bottom w:val="single" w:color="auto" w:sz="4" w:space="0"/>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9386" w:type="dxa"/>
            <w:gridSpan w:val="4"/>
            <w:tcBorders>
              <w:top w:val="nil"/>
            </w:tcBorders>
            <w:vAlign w:val="center"/>
          </w:tcPr>
          <w:p>
            <w:pPr>
              <w:rPr>
                <w:rFonts w:hint="eastAsia" w:ascii="宋体" w:hAnsi="宋体" w:cs="宋体"/>
                <w:sz w:val="18"/>
                <w:szCs w:val="18"/>
                <w:highlight w:val="none"/>
              </w:rPr>
            </w:pPr>
          </w:p>
          <w:p>
            <w:pPr>
              <w:rPr>
                <w:rFonts w:hint="eastAsia" w:ascii="宋体" w:hAnsi="宋体" w:cs="宋体"/>
                <w:sz w:val="18"/>
                <w:szCs w:val="18"/>
                <w:highlight w:val="none"/>
              </w:rPr>
            </w:pPr>
            <w:r>
              <w:rPr>
                <w:rFonts w:hint="eastAsia" w:ascii="宋体" w:hAnsi="宋体" w:cs="宋体"/>
                <w:sz w:val="18"/>
                <w:szCs w:val="18"/>
                <w:highlight w:val="none"/>
              </w:rPr>
              <w:t>续表一：</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4032"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指标名称</w:t>
            </w: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97" w:hRule="atLeast"/>
        </w:trPr>
        <w:tc>
          <w:tcPr>
            <w:tcW w:w="4032"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683"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国家技术创新中心（附名单）</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sz w:val="18"/>
                <w:szCs w:val="18"/>
                <w:highlight w:val="none"/>
              </w:rPr>
            </w:pPr>
            <w:r>
              <w:rPr>
                <w:rFonts w:hint="eastAsia" w:ascii="宋体" w:hAnsi="宋体" w:cs="宋体"/>
                <w:sz w:val="18"/>
                <w:szCs w:val="18"/>
                <w:highlight w:val="none"/>
              </w:rPr>
              <w:t>TDF9C17</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国家制造业创新中心（附名单）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省级及以上重点实验室</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TDF9C16</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其中：全国重点实验室（附名单）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TDF9C16_1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省级及以上企业技术中心</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TDF9C01_1</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其中：国家级企业技术中心（附名单）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TDF9C01_2</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新型研发机构（附名单）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TDF9C18</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产品检测检验平台（附名单）</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spacing w:line="280" w:lineRule="exact"/>
              <w:ind w:left="-99" w:leftChars="-47" w:right="-122" w:rightChars="-58" w:firstLine="3" w:firstLineChars="2"/>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TDF9C05</w:t>
            </w:r>
          </w:p>
        </w:tc>
        <w:tc>
          <w:tcPr>
            <w:tcW w:w="2021"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科技企业孵化器</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TDF9C07_0</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ind w:firstLine="360" w:firstLineChars="200"/>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其中：国家级科技企业孵化器</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TDF9C07_1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国家小型微型企业创业创新示范基地（附名单）</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TDF9C22</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国家中小企业公共服务示范平台（附名单）</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TDF9C23</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国家技术转移机构</w:t>
            </w:r>
          </w:p>
        </w:tc>
        <w:tc>
          <w:tcPr>
            <w:tcW w:w="1683"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TDF9C09_1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金融服务机构</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TDF9C14</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知识产权服务机构</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TDF9C15</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行业组织</w:t>
            </w:r>
          </w:p>
        </w:tc>
        <w:tc>
          <w:tcPr>
            <w:tcW w:w="1683"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bottom w:val="nil"/>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TDF9C11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四、经济指标</w:t>
            </w:r>
          </w:p>
        </w:tc>
        <w:tc>
          <w:tcPr>
            <w:tcW w:w="1683"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工业总产值</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营业收入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w:t>
            </w:r>
            <w:r>
              <w:rPr>
                <w:rFonts w:ascii="Calibri" w:hAnsi="Calibri" w:cs="Calibri"/>
                <w:bCs/>
                <w:sz w:val="18"/>
                <w:highlight w:val="none"/>
              </w:rPr>
              <w:t>高新技术</w:t>
            </w:r>
            <w:r>
              <w:rPr>
                <w:rFonts w:hint="eastAsia" w:ascii="宋体" w:hAnsi="宋体" w:cs="宋体"/>
                <w:sz w:val="18"/>
                <w:szCs w:val="18"/>
                <w:highlight w:val="none"/>
              </w:rPr>
              <w:t>产品销售收入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default" w:ascii="宋体" w:hAnsi="宋体" w:eastAsia="宋体" w:cs="宋体"/>
                <w:sz w:val="18"/>
                <w:szCs w:val="18"/>
                <w:highlight w:val="none"/>
                <w:lang w:val="en-US" w:eastAsia="zh-CN"/>
              </w:rPr>
            </w:pPr>
            <w:r>
              <w:rPr>
                <w:rFonts w:hint="eastAsia" w:ascii="宋体" w:hAnsi="宋体" w:cs="宋体"/>
                <w:sz w:val="18"/>
                <w:szCs w:val="18"/>
                <w:highlight w:val="none"/>
              </w:rPr>
              <w:t>TDF9D</w:t>
            </w:r>
            <w:r>
              <w:rPr>
                <w:rFonts w:hint="eastAsia" w:ascii="宋体" w:hAnsi="宋体" w:cs="宋体"/>
                <w:sz w:val="18"/>
                <w:szCs w:val="18"/>
                <w:highlight w:val="none"/>
                <w:lang w:val="en-US" w:eastAsia="zh-CN"/>
              </w:rPr>
              <w:t>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90"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其中：技术性收入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出口总额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实际上缴税费总额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TDF9D07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利润总额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default" w:ascii="宋体" w:hAnsi="宋体" w:eastAsia="宋体" w:cs="宋体"/>
                <w:sz w:val="18"/>
                <w:szCs w:val="18"/>
                <w:highlight w:val="none"/>
                <w:lang w:val="en-US" w:eastAsia="zh-CN"/>
              </w:rPr>
            </w:pPr>
            <w:r>
              <w:rPr>
                <w:rFonts w:hint="eastAsia" w:ascii="宋体" w:hAnsi="宋体" w:cs="宋体"/>
                <w:sz w:val="18"/>
                <w:szCs w:val="18"/>
                <w:highlight w:val="none"/>
              </w:rPr>
              <w:t>TDF9D</w:t>
            </w:r>
            <w:r>
              <w:rPr>
                <w:rFonts w:hint="eastAsia" w:ascii="宋体" w:hAnsi="宋体" w:cs="宋体"/>
                <w:sz w:val="18"/>
                <w:szCs w:val="18"/>
                <w:highlight w:val="none"/>
                <w:lang w:val="en-US" w:eastAsia="zh-CN"/>
              </w:rPr>
              <w:t>15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认定登记的技术合同项数</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项</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认定登记的技术合同成交金额</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TDF9D13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五、资金投入</w:t>
            </w:r>
          </w:p>
        </w:tc>
        <w:tc>
          <w:tcPr>
            <w:tcW w:w="1683" w:type="dxa"/>
            <w:tcBorders>
              <w:top w:val="nil"/>
              <w:bottom w:val="nil"/>
            </w:tcBorders>
            <w:vAlign w:val="center"/>
          </w:tcPr>
          <w:p>
            <w:pPr>
              <w:spacing w:line="280" w:lineRule="exact"/>
              <w:ind w:left="-21" w:leftChars="-10" w:firstLine="180" w:firstLineChars="100"/>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资金总投入</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千元</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TDF9E00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其中：用于支撑服务机构的公共投入</w:t>
            </w:r>
          </w:p>
        </w:tc>
        <w:tc>
          <w:tcPr>
            <w:tcW w:w="1683" w:type="dxa"/>
            <w:tcBorders>
              <w:top w:val="nil"/>
              <w:left w:val="single" w:color="auto" w:sz="4" w:space="0"/>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TDF9E05</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研究开发费用合计</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TDF9E06</w:t>
            </w:r>
            <w:r>
              <w:rPr>
                <w:rFonts w:hint="eastAsia" w:ascii="宋体" w:hAnsi="宋体" w:cs="宋体"/>
                <w:b w:val="0"/>
                <w:bCs w:val="0"/>
                <w:color w:val="auto"/>
                <w:sz w:val="18"/>
                <w:szCs w:val="18"/>
                <w:highlight w:val="none"/>
                <w:lang w:eastAsia="zh-CN"/>
              </w:rPr>
              <w:t>A</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人员人工费用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spacing w:line="280" w:lineRule="exact"/>
              <w:jc w:val="center"/>
              <w:rPr>
                <w:rFonts w:hint="eastAsia" w:ascii="宋体" w:hAnsi="宋体" w:eastAsia="宋体" w:cs="宋体"/>
                <w:b w:val="0"/>
                <w:bCs w:val="0"/>
                <w:color w:val="auto"/>
                <w:sz w:val="18"/>
                <w:szCs w:val="18"/>
                <w:highlight w:val="none"/>
                <w:lang w:eastAsia="zh-CN"/>
              </w:rPr>
            </w:pPr>
            <w:r>
              <w:rPr>
                <w:rFonts w:hint="eastAsia" w:ascii="宋体" w:hAnsi="宋体" w:cs="宋体"/>
                <w:b w:val="0"/>
                <w:bCs w:val="0"/>
                <w:color w:val="auto"/>
                <w:sz w:val="18"/>
                <w:szCs w:val="18"/>
                <w:highlight w:val="none"/>
              </w:rPr>
              <w:t>TDF9E0</w:t>
            </w:r>
            <w:r>
              <w:rPr>
                <w:rFonts w:hint="eastAsia" w:ascii="宋体" w:hAnsi="宋体" w:cs="宋体"/>
                <w:b w:val="0"/>
                <w:bCs w:val="0"/>
                <w:color w:val="auto"/>
                <w:sz w:val="18"/>
                <w:szCs w:val="18"/>
                <w:highlight w:val="none"/>
                <w:lang w:val="en-US" w:eastAsia="zh-CN"/>
              </w:rPr>
              <w:t>7</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直接投入费用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TDF9E08</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折旧费用与长期待摊费用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TDF9E09</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4032" w:type="dxa"/>
            <w:tcBorders>
              <w:top w:val="nil"/>
              <w:bottom w:val="nil"/>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无形资产摊销费用</w:t>
            </w:r>
          </w:p>
        </w:tc>
        <w:tc>
          <w:tcPr>
            <w:tcW w:w="1683" w:type="dxa"/>
            <w:tcBorders>
              <w:top w:val="nil"/>
              <w:left w:val="single" w:color="auto" w:sz="4" w:space="0"/>
              <w:bottom w:val="nil"/>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nil"/>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TDF9E10</w:t>
            </w:r>
          </w:p>
        </w:tc>
        <w:tc>
          <w:tcPr>
            <w:tcW w:w="2021" w:type="dxa"/>
            <w:tcBorders>
              <w:top w:val="nil"/>
              <w:left w:val="single" w:color="auto" w:sz="4" w:space="0"/>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83" w:hRule="atLeast"/>
        </w:trPr>
        <w:tc>
          <w:tcPr>
            <w:tcW w:w="4032" w:type="dxa"/>
            <w:tcBorders>
              <w:top w:val="nil"/>
              <w:bottom w:val="single" w:color="auto" w:sz="4" w:space="0"/>
              <w:right w:val="single" w:color="auto" w:sz="4" w:space="0"/>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设计费用</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TDF9E11</w:t>
            </w:r>
          </w:p>
        </w:tc>
        <w:tc>
          <w:tcPr>
            <w:tcW w:w="2021" w:type="dxa"/>
            <w:tcBorders>
              <w:top w:val="nil"/>
              <w:left w:val="single" w:color="auto" w:sz="4" w:space="0"/>
              <w:bottom w:val="single" w:color="auto" w:sz="4" w:space="0"/>
            </w:tcBorders>
            <w:vAlign w:val="center"/>
          </w:tcPr>
          <w:p>
            <w:pPr>
              <w:spacing w:line="280" w:lineRule="exact"/>
              <w:jc w:val="center"/>
              <w:rPr>
                <w:rFonts w:hint="eastAsia" w:ascii="宋体" w:hAnsi="宋体" w:cs="宋体"/>
                <w:sz w:val="18"/>
                <w:szCs w:val="18"/>
                <w:highlight w:val="none"/>
              </w:rPr>
            </w:pPr>
          </w:p>
        </w:tc>
      </w:tr>
    </w:tbl>
    <w:p>
      <w:pPr>
        <w:spacing w:line="280" w:lineRule="exact"/>
        <w:jc w:val="center"/>
        <w:rPr>
          <w:rFonts w:hint="eastAsia" w:ascii="宋体" w:hAnsi="宋体" w:cs="宋体"/>
          <w:sz w:val="18"/>
          <w:szCs w:val="18"/>
          <w:highlight w:val="none"/>
        </w:rPr>
        <w:sectPr>
          <w:pgSz w:w="11905" w:h="16838"/>
          <w:pgMar w:top="1332" w:right="1247" w:bottom="1332" w:left="1247" w:header="851" w:footer="737" w:gutter="0"/>
          <w:cols w:space="720" w:num="1"/>
          <w:titlePg/>
          <w:docGrid w:type="lines" w:linePitch="316" w:charSpace="0"/>
        </w:sectPr>
      </w:pPr>
    </w:p>
    <w:tbl>
      <w:tblPr>
        <w:tblStyle w:val="10"/>
        <w:tblW w:w="9386"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032"/>
        <w:gridCol w:w="1683"/>
        <w:gridCol w:w="1650"/>
        <w:gridCol w:w="202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9386" w:type="dxa"/>
            <w:gridSpan w:val="4"/>
            <w:tcBorders>
              <w:top w:val="nil"/>
              <w:bottom w:val="single" w:color="auto" w:sz="4" w:space="0"/>
            </w:tcBorders>
            <w:vAlign w:val="center"/>
          </w:tcPr>
          <w:p>
            <w:pPr>
              <w:rPr>
                <w:rFonts w:hint="eastAsia" w:ascii="宋体" w:hAnsi="宋体" w:cs="宋体"/>
                <w:sz w:val="18"/>
                <w:szCs w:val="18"/>
                <w:highlight w:val="none"/>
              </w:rPr>
            </w:pPr>
            <w:r>
              <w:rPr>
                <w:rFonts w:hint="eastAsia" w:ascii="宋体" w:hAnsi="宋体" w:cs="宋体"/>
                <w:sz w:val="18"/>
                <w:szCs w:val="18"/>
                <w:highlight w:val="none"/>
              </w:rPr>
              <w:t>续表二：</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sz w:val="18"/>
                <w:szCs w:val="18"/>
                <w:highlight w:val="none"/>
              </w:rPr>
              <w:t>指标名称</w:t>
            </w:r>
          </w:p>
        </w:tc>
        <w:tc>
          <w:tcPr>
            <w:tcW w:w="1683"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tcBorders>
              <w:top w:val="single" w:color="auto" w:sz="4" w:space="0"/>
              <w:bottom w:val="single" w:color="000000" w:sz="4" w:space="0"/>
            </w:tcBorders>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000000"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bCs/>
                <w:sz w:val="18"/>
                <w:szCs w:val="18"/>
                <w:highlight w:val="none"/>
              </w:rPr>
              <w:t>甲</w:t>
            </w:r>
          </w:p>
        </w:tc>
        <w:tc>
          <w:tcPr>
            <w:tcW w:w="1683"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tcBorders>
              <w:top w:val="single" w:color="000000"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装备调试费用与试验费用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委托外部研究开发费用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委托境内研究机构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委托境内高等学校</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委托境外机构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TDF9E13_4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其他费用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b w:val="0"/>
                <w:bCs w:val="0"/>
                <w:color w:val="auto"/>
                <w:sz w:val="18"/>
                <w:highlight w:val="none"/>
              </w:rPr>
              <w:t>研究开发支出资金来源</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来自企业自筹</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来自政府部门</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来自银行贷款</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来自风险投资</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来自其他渠道</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TDF9E15_5</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六、数字化绿色化转型</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规模以上企业数字化设计工具普及率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规模以上工业企业关键工序数控化率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接入工业互联网平台企业</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个</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规模以上万元工业增加值能耗</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吨标准煤/万元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99" w:leftChars="-47" w:right="-120" w:rightChars="-57"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TDF9A07</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工业污水处理率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99" w:leftChars="-47" w:right="-120" w:rightChars="-57" w:firstLine="3" w:firstLineChars="2"/>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TDF9A08</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万元工业增加值用水量</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立方米/万元</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TDF9F04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b/>
                <w:sz w:val="18"/>
                <w:szCs w:val="18"/>
                <w:highlight w:val="none"/>
              </w:rPr>
              <w:t>七、知识产权情况</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申请国内专利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TDF9K00</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sz w:val="18"/>
                <w:szCs w:val="18"/>
                <w:highlight w:val="none"/>
              </w:rPr>
            </w:pPr>
            <w:r>
              <w:rPr>
                <w:rFonts w:hint="eastAsia" w:ascii="宋体" w:hAnsi="宋体" w:cs="宋体"/>
                <w:sz w:val="18"/>
                <w:szCs w:val="18"/>
                <w:highlight w:val="none"/>
              </w:rPr>
              <w:t>其中：发明专利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TDF9K01</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实用新型专利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TDF9K02</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申请境外专利</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TDF9K03</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软件著作权登记</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TDF9K04</w:t>
            </w:r>
          </w:p>
        </w:tc>
        <w:tc>
          <w:tcPr>
            <w:tcW w:w="2021" w:type="dxa"/>
            <w:tcBorders>
              <w:top w:val="nil"/>
              <w:bottom w:val="nil"/>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专利授权</w:t>
            </w:r>
          </w:p>
        </w:tc>
        <w:tc>
          <w:tcPr>
            <w:tcW w:w="1683"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TDF9K05</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其中：发明专利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TDF9K06</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TDF9K10</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    其中：当年注册商标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TDF9K10_1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ind w:firstLine="900" w:firstLineChars="5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境外注册商标</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TDF9K11</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拥有有效发明专利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TDF9K12</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bottom w:val="nil"/>
            </w:tcBorders>
            <w:vAlign w:val="center"/>
          </w:tcPr>
          <w:p>
            <w:pPr>
              <w:spacing w:line="280" w:lineRule="exac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拥有境外授权专利</w:t>
            </w:r>
          </w:p>
        </w:tc>
        <w:tc>
          <w:tcPr>
            <w:tcW w:w="1683" w:type="dxa"/>
            <w:tcBorders>
              <w:top w:val="nil"/>
              <w:bottom w:val="nil"/>
            </w:tcBorders>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件</w:t>
            </w:r>
          </w:p>
        </w:tc>
        <w:tc>
          <w:tcPr>
            <w:tcW w:w="1650" w:type="dxa"/>
            <w:tcBorders>
              <w:top w:val="nil"/>
              <w:bottom w:val="nil"/>
            </w:tcBorders>
            <w:vAlign w:val="center"/>
          </w:tcPr>
          <w:p>
            <w:pPr>
              <w:keepNext w:val="0"/>
              <w:keepLines w:val="0"/>
              <w:widowControl w:val="0"/>
              <w:suppressLineNumbers w:val="0"/>
              <w:spacing w:before="0" w:beforeAutospacing="0" w:after="0" w:afterAutospacing="0" w:line="280" w:lineRule="exact"/>
              <w:ind w:left="0" w:leftChars="0" w:right="0" w:rightChars="0"/>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TDF9K13</w:t>
            </w:r>
          </w:p>
        </w:tc>
        <w:tc>
          <w:tcPr>
            <w:tcW w:w="2021" w:type="dxa"/>
            <w:tcBorders>
              <w:top w:val="nil"/>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242" w:hRule="atLeast"/>
        </w:trPr>
        <w:tc>
          <w:tcPr>
            <w:tcW w:w="4032" w:type="dxa"/>
            <w:tcBorders>
              <w:top w:val="nil"/>
              <w:bottom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制定国家标准数量</w:t>
            </w:r>
          </w:p>
        </w:tc>
        <w:tc>
          <w:tcPr>
            <w:tcW w:w="1683"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nil"/>
              <w:bottom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TDF9K07</w:t>
            </w:r>
          </w:p>
        </w:tc>
        <w:tc>
          <w:tcPr>
            <w:tcW w:w="2021" w:type="dxa"/>
            <w:tcBorders>
              <w:top w:val="nil"/>
              <w:bottom w:val="single" w:color="auto" w:sz="4" w:space="0"/>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127" w:hRule="atLeast"/>
        </w:trPr>
        <w:tc>
          <w:tcPr>
            <w:tcW w:w="9386" w:type="dxa"/>
            <w:gridSpan w:val="4"/>
            <w:tcBorders>
              <w:top w:val="single" w:color="auto" w:sz="4" w:space="0"/>
              <w:bottom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9386" w:type="dxa"/>
            <w:gridSpan w:val="4"/>
            <w:tcBorders>
              <w:top w:val="nil"/>
              <w:bottom w:val="single" w:color="auto" w:sz="4" w:space="0"/>
            </w:tcBorders>
            <w:vAlign w:val="center"/>
          </w:tcPr>
          <w:p>
            <w:pPr>
              <w:rPr>
                <w:rFonts w:hint="eastAsia" w:ascii="宋体" w:hAnsi="宋体" w:cs="宋体"/>
                <w:sz w:val="18"/>
                <w:szCs w:val="18"/>
                <w:highlight w:val="none"/>
              </w:rPr>
            </w:pPr>
            <w:r>
              <w:rPr>
                <w:rFonts w:hint="eastAsia" w:ascii="宋体" w:hAnsi="宋体" w:cs="宋体"/>
                <w:sz w:val="18"/>
                <w:szCs w:val="18"/>
                <w:highlight w:val="none"/>
              </w:rPr>
              <w:t>续表三：</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bottom w:val="single" w:color="000000"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sz w:val="18"/>
                <w:szCs w:val="18"/>
                <w:highlight w:val="none"/>
              </w:rPr>
              <w:t>指标名称</w:t>
            </w:r>
          </w:p>
        </w:tc>
        <w:tc>
          <w:tcPr>
            <w:tcW w:w="1683"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650" w:type="dxa"/>
            <w:tcBorders>
              <w:top w:val="single" w:color="auto" w:sz="4" w:space="0"/>
              <w:bottom w:val="single" w:color="000000"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2021" w:type="dxa"/>
            <w:tcBorders>
              <w:top w:val="single" w:color="auto" w:sz="4" w:space="0"/>
              <w:bottom w:val="single" w:color="000000" w:sz="4" w:space="0"/>
            </w:tcBorders>
            <w:vAlign w:val="center"/>
          </w:tcPr>
          <w:p>
            <w:pPr>
              <w:widowControl/>
              <w:spacing w:line="280" w:lineRule="exact"/>
              <w:ind w:right="-48" w:rightChars="-23"/>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000000" w:sz="4" w:space="0"/>
              <w:bottom w:val="single" w:color="auto" w:sz="4" w:space="0"/>
            </w:tcBorders>
            <w:vAlign w:val="center"/>
          </w:tcPr>
          <w:p>
            <w:pPr>
              <w:widowControl/>
              <w:spacing w:line="280" w:lineRule="exact"/>
              <w:jc w:val="center"/>
              <w:rPr>
                <w:rFonts w:hint="eastAsia" w:ascii="宋体" w:hAnsi="宋体" w:cs="宋体"/>
                <w:b/>
                <w:sz w:val="18"/>
                <w:szCs w:val="18"/>
                <w:highlight w:val="none"/>
              </w:rPr>
            </w:pPr>
            <w:r>
              <w:rPr>
                <w:rFonts w:hint="eastAsia" w:ascii="宋体" w:hAnsi="宋体" w:cs="宋体"/>
                <w:bCs/>
                <w:sz w:val="18"/>
                <w:szCs w:val="18"/>
                <w:highlight w:val="none"/>
              </w:rPr>
              <w:t>甲</w:t>
            </w:r>
          </w:p>
        </w:tc>
        <w:tc>
          <w:tcPr>
            <w:tcW w:w="1683"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650"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2021" w:type="dxa"/>
            <w:tcBorders>
              <w:top w:val="single" w:color="000000" w:sz="4" w:space="0"/>
              <w:bottom w:val="single" w:color="auto" w:sz="4" w:space="0"/>
            </w:tcBorders>
            <w:vAlign w:val="center"/>
          </w:tcPr>
          <w:p>
            <w:pPr>
              <w:widowControl/>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single" w:color="auto" w:sz="4" w:space="0"/>
              <w:left w:val="nil"/>
              <w:bottom w:val="nil"/>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制定行业标准数量</w:t>
            </w:r>
          </w:p>
        </w:tc>
        <w:tc>
          <w:tcPr>
            <w:tcW w:w="1683"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件</w:t>
            </w:r>
          </w:p>
        </w:tc>
        <w:tc>
          <w:tcPr>
            <w:tcW w:w="1650"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TDF9K08</w:t>
            </w:r>
          </w:p>
        </w:tc>
        <w:tc>
          <w:tcPr>
            <w:tcW w:w="2021" w:type="dxa"/>
            <w:tcBorders>
              <w:top w:val="single" w:color="auto" w:sz="4" w:space="0"/>
              <w:left w:val="single" w:color="auto" w:sz="4" w:space="0"/>
              <w:bottom w:val="nil"/>
              <w:right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69" w:hRule="atLeast"/>
        </w:trPr>
        <w:tc>
          <w:tcPr>
            <w:tcW w:w="4032" w:type="dxa"/>
            <w:tcBorders>
              <w:top w:val="nil"/>
              <w:left w:val="nil"/>
              <w:bottom w:val="single" w:color="auto" w:sz="4" w:space="0"/>
              <w:right w:val="single" w:color="auto" w:sz="4" w:space="0"/>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参与制定国际标准的企业数量</w:t>
            </w:r>
          </w:p>
        </w:tc>
        <w:tc>
          <w:tcPr>
            <w:tcW w:w="1683"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个</w:t>
            </w:r>
          </w:p>
        </w:tc>
        <w:tc>
          <w:tcPr>
            <w:tcW w:w="1650" w:type="dxa"/>
            <w:tcBorders>
              <w:top w:val="nil"/>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TDF9K09</w:t>
            </w:r>
          </w:p>
        </w:tc>
        <w:tc>
          <w:tcPr>
            <w:tcW w:w="2021" w:type="dxa"/>
            <w:tcBorders>
              <w:top w:val="nil"/>
              <w:left w:val="single" w:color="auto" w:sz="4" w:space="0"/>
              <w:bottom w:val="single" w:color="auto" w:sz="4" w:space="0"/>
              <w:right w:val="nil"/>
            </w:tcBorders>
            <w:vAlign w:val="center"/>
          </w:tcPr>
          <w:p>
            <w:pPr>
              <w:widowControl/>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cantSplit/>
          <w:trHeight w:val="340" w:hRule="atLeast"/>
        </w:trPr>
        <w:tc>
          <w:tcPr>
            <w:tcW w:w="9386" w:type="dxa"/>
            <w:gridSpan w:val="4"/>
            <w:tcBorders>
              <w:top w:val="single" w:color="auto" w:sz="4" w:space="0"/>
            </w:tcBorders>
            <w:vAlign w:val="center"/>
          </w:tcPr>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补充资料：基地建设主体（TDF922）：</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    1.地市级政府          2.区县级政府      3.国家高新区（国家级经开区）管委会</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4.省级高新区（经开区）管委会           5.其他</w:t>
            </w:r>
          </w:p>
          <w:p>
            <w:pPr>
              <w:spacing w:line="280" w:lineRule="exact"/>
              <w:ind w:firstLine="900" w:firstLineChars="500"/>
              <w:jc w:val="left"/>
              <w:rPr>
                <w:rFonts w:hint="eastAsia" w:ascii="宋体" w:hAnsi="宋体" w:cs="宋体"/>
                <w:kern w:val="0"/>
                <w:sz w:val="18"/>
                <w:szCs w:val="18"/>
                <w:highlight w:val="none"/>
              </w:rPr>
            </w:pPr>
            <w:r>
              <w:rPr>
                <w:rFonts w:hint="eastAsia" w:ascii="宋体" w:hAnsi="宋体" w:cs="宋体"/>
                <w:kern w:val="0"/>
                <w:sz w:val="18"/>
                <w:szCs w:val="18"/>
                <w:highlight w:val="none"/>
              </w:rPr>
              <w:t>基地主导产业细分领域（在已选大类下按照规模依次选取中类，最多可选三项）</w:t>
            </w:r>
          </w:p>
          <w:p>
            <w:pPr>
              <w:spacing w:line="280" w:lineRule="exact"/>
              <w:ind w:firstLine="990" w:firstLineChars="550"/>
              <w:jc w:val="left"/>
              <w:rPr>
                <w:rFonts w:hint="eastAsia" w:ascii="宋体" w:hAnsi="宋体" w:cs="宋体"/>
                <w:sz w:val="18"/>
                <w:szCs w:val="18"/>
                <w:highlight w:val="none"/>
              </w:rPr>
            </w:pPr>
            <w:r>
              <w:rPr>
                <w:rFonts w:hint="eastAsia" w:ascii="宋体" w:hAnsi="宋体" w:cs="宋体"/>
                <w:kern w:val="0"/>
                <w:sz w:val="18"/>
                <w:szCs w:val="18"/>
                <w:highlight w:val="none"/>
              </w:rPr>
              <w:t xml:space="preserve">      1(</w:t>
            </w:r>
            <w:r>
              <w:rPr>
                <w:rFonts w:hint="eastAsia" w:ascii="宋体" w:hAnsi="宋体" w:cs="宋体"/>
                <w:sz w:val="18"/>
                <w:szCs w:val="18"/>
                <w:highlight w:val="none"/>
              </w:rPr>
              <w:t>TDF923_1</w:t>
            </w:r>
            <w:r>
              <w:rPr>
                <w:rFonts w:hint="eastAsia" w:ascii="宋体" w:hAnsi="宋体" w:cs="宋体"/>
                <w:kern w:val="0"/>
                <w:sz w:val="18"/>
                <w:szCs w:val="18"/>
                <w:highlight w:val="none"/>
              </w:rPr>
              <w:t>）.</w:t>
            </w:r>
            <w:r>
              <w:rPr>
                <w:rFonts w:hint="eastAsia" w:ascii="宋体" w:hAnsi="宋体" w:cs="宋体"/>
                <w:sz w:val="18"/>
                <w:szCs w:val="18"/>
                <w:highlight w:val="none"/>
              </w:rPr>
              <w:t>□□□□        2</w:t>
            </w:r>
            <w:r>
              <w:rPr>
                <w:rFonts w:hint="eastAsia" w:ascii="宋体" w:hAnsi="宋体" w:cs="宋体"/>
                <w:kern w:val="0"/>
                <w:sz w:val="18"/>
                <w:szCs w:val="18"/>
                <w:highlight w:val="none"/>
              </w:rPr>
              <w:t>（</w:t>
            </w:r>
            <w:r>
              <w:rPr>
                <w:rFonts w:hint="eastAsia" w:ascii="宋体" w:hAnsi="宋体" w:cs="宋体"/>
                <w:sz w:val="18"/>
                <w:szCs w:val="18"/>
                <w:highlight w:val="none"/>
              </w:rPr>
              <w:t>TDF923_2</w:t>
            </w:r>
            <w:r>
              <w:rPr>
                <w:rFonts w:hint="eastAsia" w:ascii="宋体" w:hAnsi="宋体" w:cs="宋体"/>
                <w:kern w:val="0"/>
                <w:sz w:val="18"/>
                <w:szCs w:val="18"/>
                <w:highlight w:val="none"/>
              </w:rPr>
              <w:t>）.</w:t>
            </w:r>
            <w:r>
              <w:rPr>
                <w:rFonts w:hint="eastAsia" w:ascii="宋体" w:hAnsi="宋体" w:cs="宋体"/>
                <w:sz w:val="18"/>
                <w:szCs w:val="18"/>
                <w:highlight w:val="none"/>
              </w:rPr>
              <w:t xml:space="preserve">□□□□        </w:t>
            </w:r>
            <w:r>
              <w:rPr>
                <w:rFonts w:hint="eastAsia" w:ascii="宋体" w:hAnsi="宋体" w:cs="宋体"/>
                <w:kern w:val="0"/>
                <w:sz w:val="18"/>
                <w:szCs w:val="18"/>
                <w:highlight w:val="none"/>
              </w:rPr>
              <w:t>3（</w:t>
            </w:r>
            <w:r>
              <w:rPr>
                <w:rFonts w:hint="eastAsia" w:ascii="宋体" w:hAnsi="宋体" w:cs="宋体"/>
                <w:sz w:val="18"/>
                <w:szCs w:val="18"/>
                <w:highlight w:val="none"/>
              </w:rPr>
              <w:t>TDF923_3</w:t>
            </w:r>
            <w:r>
              <w:rPr>
                <w:rFonts w:hint="eastAsia" w:ascii="宋体" w:hAnsi="宋体" w:cs="宋体"/>
                <w:kern w:val="0"/>
                <w:sz w:val="18"/>
                <w:szCs w:val="18"/>
                <w:highlight w:val="none"/>
              </w:rPr>
              <w:t>）.</w:t>
            </w:r>
            <w:r>
              <w:rPr>
                <w:rFonts w:hint="eastAsia" w:ascii="宋体" w:hAnsi="宋体" w:cs="宋体"/>
                <w:sz w:val="18"/>
                <w:szCs w:val="18"/>
                <w:highlight w:val="none"/>
              </w:rPr>
              <w:t>□□□□</w:t>
            </w:r>
          </w:p>
          <w:p>
            <w:pPr>
              <w:pStyle w:val="2"/>
              <w:spacing w:after="0"/>
              <w:ind w:left="0" w:leftChars="0" w:firstLine="858" w:firstLineChars="477"/>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基地所属战略性新兴产业领域</w:t>
            </w:r>
            <w:r>
              <w:rPr>
                <w:rFonts w:hint="eastAsia" w:ascii="宋体" w:hAnsi="宋体" w:eastAsia="宋体" w:cs="宋体"/>
                <w:b w:val="0"/>
                <w:bCs w:val="0"/>
                <w:color w:val="auto"/>
                <w:kern w:val="2"/>
                <w:sz w:val="18"/>
                <w:szCs w:val="18"/>
                <w:highlight w:val="none"/>
                <w:lang w:val="en-US" w:eastAsia="zh-CN" w:bidi="ar"/>
              </w:rPr>
              <w:t>（TDF925）</w:t>
            </w:r>
            <w:r>
              <w:rPr>
                <w:rFonts w:hint="eastAsia" w:ascii="宋体" w:hAnsi="宋体" w:cs="宋体"/>
                <w:b w:val="0"/>
                <w:bCs w:val="0"/>
                <w:color w:val="auto"/>
                <w:sz w:val="18"/>
                <w:szCs w:val="18"/>
                <w:highlight w:val="none"/>
              </w:rPr>
              <w:t>（仅选一项）：□□□</w:t>
            </w:r>
          </w:p>
          <w:p>
            <w:pPr>
              <w:pStyle w:val="2"/>
              <w:spacing w:after="0"/>
              <w:ind w:left="0" w:leftChars="0" w:firstLine="858" w:firstLineChars="477"/>
              <w:rPr>
                <w:rFonts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基地所属工业战略性新兴产业领域</w:t>
            </w:r>
            <w:r>
              <w:rPr>
                <w:rFonts w:hint="eastAsia" w:ascii="宋体" w:hAnsi="宋体" w:eastAsia="宋体" w:cs="宋体"/>
                <w:b w:val="0"/>
                <w:bCs w:val="0"/>
                <w:color w:val="auto"/>
                <w:kern w:val="2"/>
                <w:sz w:val="18"/>
                <w:szCs w:val="18"/>
                <w:highlight w:val="none"/>
                <w:lang w:val="en-US" w:eastAsia="zh-CN" w:bidi="ar"/>
              </w:rPr>
              <w:t>（TDF926）</w:t>
            </w:r>
            <w:r>
              <w:rPr>
                <w:rFonts w:hint="eastAsia" w:ascii="宋体" w:hAnsi="宋体" w:cs="宋体"/>
                <w:b w:val="0"/>
                <w:bCs w:val="0"/>
                <w:color w:val="auto"/>
                <w:sz w:val="18"/>
                <w:szCs w:val="18"/>
                <w:highlight w:val="none"/>
              </w:rPr>
              <w:t>（仅选一项）：□□□</w:t>
            </w:r>
          </w:p>
          <w:p>
            <w:pPr>
              <w:spacing w:line="280" w:lineRule="exact"/>
              <w:ind w:firstLine="878" w:firstLineChars="488"/>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 xml:space="preserve">基地是否属于县域（TDF924）   □     </w:t>
            </w:r>
            <w:r>
              <w:rPr>
                <w:rFonts w:hint="eastAsia" w:ascii="宋体" w:hAnsi="宋体" w:cs="宋体"/>
                <w:b w:val="0"/>
                <w:bCs w:val="0"/>
                <w:color w:val="auto"/>
                <w:kern w:val="0"/>
                <w:sz w:val="18"/>
                <w:szCs w:val="18"/>
                <w:highlight w:val="none"/>
              </w:rPr>
              <w:t xml:space="preserve">1.是  2.否    </w:t>
            </w:r>
          </w:p>
          <w:p>
            <w:pPr>
              <w:spacing w:line="280" w:lineRule="exact"/>
              <w:ind w:firstLine="858" w:firstLineChars="477"/>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基地是否中小企业特色产业集群</w:t>
            </w:r>
            <w:r>
              <w:rPr>
                <w:rFonts w:hint="eastAsia" w:ascii="宋体" w:hAnsi="宋体" w:eastAsia="宋体" w:cs="宋体"/>
                <w:b w:val="0"/>
                <w:bCs w:val="0"/>
                <w:color w:val="auto"/>
                <w:kern w:val="2"/>
                <w:sz w:val="18"/>
                <w:szCs w:val="18"/>
                <w:highlight w:val="none"/>
                <w:lang w:val="en-US" w:eastAsia="zh-CN" w:bidi="ar"/>
              </w:rPr>
              <w:t>（TDF927）</w:t>
            </w:r>
            <w:r>
              <w:rPr>
                <w:rFonts w:hint="eastAsia" w:ascii="宋体" w:hAnsi="宋体" w:cs="宋体"/>
                <w:b w:val="0"/>
                <w:bCs w:val="0"/>
                <w:color w:val="auto"/>
                <w:sz w:val="18"/>
                <w:szCs w:val="18"/>
                <w:highlight w:val="none"/>
              </w:rPr>
              <w:t>（附名称）     □     1.是  2.否</w:t>
            </w:r>
          </w:p>
          <w:p>
            <w:pPr>
              <w:spacing w:line="280" w:lineRule="exact"/>
              <w:ind w:firstLine="858" w:firstLineChars="477"/>
              <w:jc w:val="left"/>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基地是否国家新型工业化产业示范基地</w:t>
            </w:r>
            <w:r>
              <w:rPr>
                <w:rFonts w:hint="eastAsia" w:ascii="宋体" w:hAnsi="宋体" w:eastAsia="宋体" w:cs="宋体"/>
                <w:b w:val="0"/>
                <w:bCs w:val="0"/>
                <w:color w:val="auto"/>
                <w:kern w:val="2"/>
                <w:sz w:val="18"/>
                <w:szCs w:val="18"/>
                <w:highlight w:val="none"/>
                <w:lang w:val="en-US" w:eastAsia="zh-CN" w:bidi="ar"/>
              </w:rPr>
              <w:t>（TDF928）</w:t>
            </w:r>
            <w:r>
              <w:rPr>
                <w:rFonts w:hint="eastAsia" w:ascii="宋体" w:hAnsi="宋体" w:cs="宋体"/>
                <w:b w:val="0"/>
                <w:bCs w:val="0"/>
                <w:color w:val="auto"/>
                <w:sz w:val="18"/>
                <w:szCs w:val="18"/>
                <w:highlight w:val="none"/>
              </w:rPr>
              <w:t>（附名称）   □     1.是  2.否</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基地通信地址（TDF913）：                    </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widowControl/>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说明：1.填报范围：经工业和信息化部火炬中心批准的国家火炬特色产业基地。</w:t>
      </w:r>
    </w:p>
    <w:p>
      <w:pPr>
        <w:snapToGrid w:val="0"/>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2.各产业基地管理机构收集数据或汇总基地内各方面基层统计指标数据填报。</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3.报送日期及方式：本报表为年报，填报单位于报告期次年3月31日前，通过网络平台报送；各省级有关行政管理部门于4月30日前完成审核。</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4.审核关系：</w:t>
      </w:r>
    </w:p>
    <w:p>
      <w:pPr>
        <w:snapToGrid w:val="0"/>
        <w:spacing w:line="28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（1）TDF9A00≥TDF9A01           （</w:t>
      </w:r>
      <w:r>
        <w:rPr>
          <w:rFonts w:hint="eastAsia" w:ascii="宋体" w:hAnsi="宋体" w:cs="宋体"/>
          <w:sz w:val="18"/>
          <w:szCs w:val="18"/>
          <w:highlight w:val="none"/>
          <w:lang w:val="en-US" w:eastAsia="zh-CN"/>
        </w:rPr>
        <w:t>2</w:t>
      </w:r>
      <w:r>
        <w:rPr>
          <w:rFonts w:hint="eastAsia" w:ascii="宋体" w:hAnsi="宋体" w:cs="宋体"/>
          <w:sz w:val="18"/>
          <w:szCs w:val="18"/>
          <w:highlight w:val="none"/>
        </w:rPr>
        <w:t xml:space="preserve">）TDF9A00≥ TDF9A04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3</w:t>
      </w:r>
      <w:r>
        <w:rPr>
          <w:rFonts w:hint="eastAsia" w:ascii="宋体" w:hAnsi="宋体" w:cs="宋体"/>
          <w:sz w:val="18"/>
          <w:szCs w:val="18"/>
          <w:highlight w:val="none"/>
        </w:rPr>
        <w:t xml:space="preserve">）TDF9A00≥TDF9A09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4</w:t>
      </w:r>
      <w:r>
        <w:rPr>
          <w:rFonts w:hint="eastAsia" w:ascii="宋体" w:hAnsi="宋体" w:cs="宋体"/>
          <w:sz w:val="18"/>
          <w:szCs w:val="18"/>
          <w:highlight w:val="none"/>
        </w:rPr>
        <w:t>）TDF9A00≥TDF9A010</w:t>
      </w:r>
      <w:r>
        <w:rPr>
          <w:rFonts w:hint="eastAsia" w:ascii="宋体" w:hAnsi="宋体" w:cs="宋体"/>
          <w:sz w:val="18"/>
          <w:szCs w:val="18"/>
          <w:highlight w:val="none"/>
        </w:rPr>
        <w:tab/>
      </w:r>
      <w:r>
        <w:rPr>
          <w:rFonts w:hint="eastAsia" w:ascii="宋体" w:hAnsi="宋体" w:cs="宋体"/>
          <w:sz w:val="18"/>
          <w:szCs w:val="18"/>
          <w:highlight w:val="none"/>
        </w:rPr>
        <w:t xml:space="preserve">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5</w:t>
      </w:r>
      <w:r>
        <w:rPr>
          <w:rFonts w:hint="eastAsia" w:ascii="宋体" w:hAnsi="宋体" w:cs="宋体"/>
          <w:sz w:val="18"/>
          <w:szCs w:val="18"/>
          <w:highlight w:val="none"/>
        </w:rPr>
        <w:t xml:space="preserve">）TDF9A00≥TDF9A011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6</w:t>
      </w:r>
      <w:r>
        <w:rPr>
          <w:rFonts w:hint="eastAsia" w:ascii="宋体" w:hAnsi="宋体" w:cs="宋体"/>
          <w:sz w:val="18"/>
          <w:szCs w:val="18"/>
          <w:highlight w:val="none"/>
        </w:rPr>
        <w:t xml:space="preserve">）TDF9A00≥TDF9A12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7</w:t>
      </w:r>
      <w:r>
        <w:rPr>
          <w:rFonts w:hint="eastAsia" w:ascii="宋体" w:hAnsi="宋体" w:cs="宋体"/>
          <w:sz w:val="18"/>
          <w:szCs w:val="18"/>
          <w:highlight w:val="none"/>
        </w:rPr>
        <w:t xml:space="preserve">）TDF9A00≥TDF9A05_1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8</w:t>
      </w:r>
      <w:r>
        <w:rPr>
          <w:rFonts w:hint="eastAsia" w:ascii="宋体" w:hAnsi="宋体" w:cs="宋体"/>
          <w:sz w:val="18"/>
          <w:szCs w:val="18"/>
          <w:highlight w:val="none"/>
        </w:rPr>
        <w:t>）TDF9A00≥TDF9A05_2</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9</w:t>
      </w:r>
      <w:r>
        <w:rPr>
          <w:rFonts w:hint="eastAsia" w:ascii="宋体" w:hAnsi="宋体" w:cs="宋体"/>
          <w:sz w:val="18"/>
          <w:szCs w:val="18"/>
          <w:highlight w:val="none"/>
        </w:rPr>
        <w:t xml:space="preserve">）TDF9B00≥TDF9B01 </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0</w:t>
      </w:r>
      <w:r>
        <w:rPr>
          <w:rFonts w:hint="eastAsia" w:ascii="宋体" w:hAnsi="宋体" w:cs="宋体"/>
          <w:sz w:val="18"/>
          <w:szCs w:val="18"/>
          <w:highlight w:val="none"/>
        </w:rPr>
        <w:t xml:space="preserve">）TDF9B01≥TDF9B02      </w:t>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1</w:t>
      </w:r>
      <w:r>
        <w:rPr>
          <w:rFonts w:hint="eastAsia" w:ascii="宋体" w:hAnsi="宋体" w:cs="宋体"/>
          <w:sz w:val="18"/>
          <w:szCs w:val="18"/>
          <w:highlight w:val="none"/>
        </w:rPr>
        <w:t xml:space="preserve">）TDF9B01≥TDF9B03 </w:t>
      </w:r>
      <w:r>
        <w:rPr>
          <w:rFonts w:hint="eastAsia" w:ascii="宋体" w:hAnsi="宋体" w:cs="宋体"/>
          <w:sz w:val="18"/>
          <w:szCs w:val="18"/>
          <w:highlight w:val="none"/>
        </w:rPr>
        <w:tab/>
      </w:r>
      <w:r>
        <w:rPr>
          <w:rFonts w:hint="eastAsia" w:ascii="宋体" w:hAnsi="宋体" w:cs="宋体"/>
          <w:sz w:val="18"/>
          <w:szCs w:val="18"/>
          <w:highlight w:val="none"/>
        </w:rPr>
        <w:t xml:space="preserve">         （1</w:t>
      </w:r>
      <w:r>
        <w:rPr>
          <w:rFonts w:hint="eastAsia" w:ascii="宋体" w:hAnsi="宋体" w:cs="宋体"/>
          <w:sz w:val="18"/>
          <w:szCs w:val="18"/>
          <w:highlight w:val="none"/>
          <w:lang w:val="en-US" w:eastAsia="zh-CN"/>
        </w:rPr>
        <w:t>2</w:t>
      </w:r>
      <w:r>
        <w:rPr>
          <w:rFonts w:hint="eastAsia" w:ascii="宋体" w:hAnsi="宋体" w:cs="宋体"/>
          <w:sz w:val="18"/>
          <w:szCs w:val="18"/>
          <w:highlight w:val="none"/>
        </w:rPr>
        <w:t>）TDF9C16≥TDF9C16_1</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3</w:t>
      </w:r>
      <w:r>
        <w:rPr>
          <w:rFonts w:hint="eastAsia" w:ascii="宋体" w:hAnsi="宋体" w:cs="宋体"/>
          <w:sz w:val="18"/>
          <w:szCs w:val="18"/>
          <w:highlight w:val="none"/>
        </w:rPr>
        <w:t xml:space="preserve">）TDF9C01_1≥TDF9C01_2  </w:t>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4</w:t>
      </w:r>
      <w:r>
        <w:rPr>
          <w:rFonts w:hint="eastAsia" w:ascii="宋体" w:hAnsi="宋体" w:cs="宋体"/>
          <w:sz w:val="18"/>
          <w:szCs w:val="18"/>
          <w:highlight w:val="none"/>
        </w:rPr>
        <w:t>）TDF9C07_0≥TDF9C07_1</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5</w:t>
      </w:r>
      <w:r>
        <w:rPr>
          <w:rFonts w:hint="eastAsia" w:ascii="宋体" w:hAnsi="宋体" w:cs="宋体"/>
          <w:sz w:val="18"/>
          <w:szCs w:val="18"/>
          <w:highlight w:val="none"/>
        </w:rPr>
        <w:t>）TDF9D01≥TDF9D</w:t>
      </w:r>
      <w:r>
        <w:rPr>
          <w:rFonts w:hint="eastAsia" w:ascii="宋体" w:hAnsi="宋体" w:cs="宋体"/>
          <w:sz w:val="18"/>
          <w:szCs w:val="18"/>
          <w:highlight w:val="none"/>
          <w:lang w:val="en-US" w:eastAsia="zh-CN"/>
        </w:rPr>
        <w:t>14</w:t>
      </w:r>
      <w:r>
        <w:rPr>
          <w:rFonts w:hint="eastAsia" w:ascii="宋体" w:hAnsi="宋体" w:cs="宋体"/>
          <w:sz w:val="18"/>
          <w:szCs w:val="18"/>
          <w:highlight w:val="none"/>
        </w:rPr>
        <w:t>+TDF9D03</w:t>
      </w:r>
    </w:p>
    <w:p>
      <w:pPr>
        <w:snapToGrid w:val="0"/>
        <w:spacing w:line="280" w:lineRule="exact"/>
        <w:ind w:left="525" w:leftChars="250" w:firstLine="0" w:firstLineChars="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16</w:t>
      </w:r>
      <w:r>
        <w:rPr>
          <w:rFonts w:hint="eastAsia" w:ascii="宋体" w:hAnsi="宋体" w:cs="宋体"/>
          <w:sz w:val="18"/>
          <w:szCs w:val="18"/>
          <w:highlight w:val="none"/>
        </w:rPr>
        <w:t xml:space="preserve">）TDF9E00≥TDF9E05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17</w:t>
      </w:r>
      <w:r>
        <w:rPr>
          <w:rFonts w:hint="eastAsia" w:ascii="宋体" w:hAnsi="宋体" w:cs="宋体"/>
          <w:sz w:val="18"/>
          <w:szCs w:val="18"/>
          <w:highlight w:val="none"/>
        </w:rPr>
        <w:t xml:space="preserve">）TDF9K00≥TDF9K01+TDF9K02 </w:t>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18</w:t>
      </w:r>
      <w:r>
        <w:rPr>
          <w:rFonts w:hint="eastAsia" w:ascii="宋体" w:hAnsi="宋体" w:cs="宋体"/>
          <w:sz w:val="18"/>
          <w:szCs w:val="18"/>
          <w:highlight w:val="none"/>
        </w:rPr>
        <w:t>）TDF9K05≥TDF9K06</w:t>
      </w:r>
    </w:p>
    <w:p>
      <w:pPr>
        <w:spacing w:line="280" w:lineRule="exact"/>
        <w:rPr>
          <w:rFonts w:hint="eastAsia" w:ascii="宋体" w:hAnsi="宋体" w:cs="宋体"/>
          <w:sz w:val="18"/>
          <w:szCs w:val="18"/>
          <w:highlight w:val="none"/>
        </w:rPr>
      </w:pPr>
    </w:p>
    <w:p>
      <w:pPr>
        <w:rPr>
          <w:highlight w:val="none"/>
        </w:rPr>
      </w:pPr>
    </w:p>
    <w:p>
      <w:pPr>
        <w:widowControl/>
        <w:spacing w:line="400" w:lineRule="exact"/>
        <w:jc w:val="center"/>
        <w:rPr>
          <w:highlight w:val="none"/>
        </w:rPr>
      </w:pPr>
      <w:r>
        <w:rPr>
          <w:highlight w:val="none"/>
        </w:rPr>
        <w:br w:type="page"/>
      </w:r>
    </w:p>
    <w:p>
      <w:pPr>
        <w:widowControl/>
        <w:spacing w:line="400" w:lineRule="exact"/>
        <w:jc w:val="center"/>
        <w:rPr>
          <w:b/>
          <w:sz w:val="32"/>
          <w:szCs w:val="32"/>
          <w:highlight w:val="none"/>
        </w:rPr>
      </w:pPr>
      <w:r>
        <w:rPr>
          <w:rFonts w:hint="eastAsia" w:ascii="黑体" w:hAnsi="黑体" w:eastAsia="黑体" w:cs="黑体"/>
          <w:sz w:val="32"/>
          <w:szCs w:val="32"/>
          <w:highlight w:val="none"/>
        </w:rPr>
        <w:t>主要指标解释</w:t>
      </w:r>
    </w:p>
    <w:p>
      <w:pPr>
        <w:spacing w:line="400" w:lineRule="exact"/>
        <w:rPr>
          <w:rFonts w:eastAsia="黑体"/>
          <w:b/>
          <w:bCs/>
          <w:highlight w:val="none"/>
        </w:rPr>
      </w:pPr>
    </w:p>
    <w:p>
      <w:pPr>
        <w:spacing w:line="400" w:lineRule="exact"/>
        <w:ind w:firstLine="420" w:firstLineChars="200"/>
        <w:contextualSpacing/>
        <w:rPr>
          <w:szCs w:val="21"/>
          <w:highlight w:val="none"/>
          <w:lang w:val="zh-TW"/>
        </w:rPr>
      </w:pPr>
      <w:r>
        <w:rPr>
          <w:rFonts w:eastAsia="黑体"/>
          <w:highlight w:val="none"/>
        </w:rPr>
        <w:t>基地内企业数量</w:t>
      </w:r>
      <w:r>
        <w:rPr>
          <w:rFonts w:hint="eastAsia" w:eastAsia="黑体"/>
          <w:highlight w:val="none"/>
        </w:rPr>
        <w:t xml:space="preserve">  </w:t>
      </w:r>
      <w:r>
        <w:rPr>
          <w:rFonts w:hint="eastAsia"/>
          <w:szCs w:val="21"/>
          <w:highlight w:val="none"/>
          <w:lang w:val="zh-TW"/>
        </w:rPr>
        <w:t>指</w:t>
      </w:r>
      <w:r>
        <w:rPr>
          <w:szCs w:val="21"/>
          <w:highlight w:val="none"/>
          <w:lang w:val="zh-TW"/>
        </w:rPr>
        <w:t>在基地内生产经营和纳税的所有工业及相关服务业企业数量。</w:t>
      </w:r>
    </w:p>
    <w:p>
      <w:pPr>
        <w:spacing w:line="400" w:lineRule="exact"/>
        <w:ind w:firstLine="420" w:firstLineChars="200"/>
        <w:contextualSpacing/>
        <w:rPr>
          <w:szCs w:val="21"/>
          <w:highlight w:val="none"/>
          <w:lang w:val="zh-TW"/>
        </w:rPr>
      </w:pPr>
      <w:r>
        <w:rPr>
          <w:rFonts w:eastAsia="黑体"/>
          <w:highlight w:val="none"/>
        </w:rPr>
        <w:t>高新技术企业</w:t>
      </w:r>
      <w:r>
        <w:rPr>
          <w:rFonts w:hint="eastAsia" w:eastAsia="黑体"/>
          <w:highlight w:val="none"/>
        </w:rPr>
        <w:t xml:space="preserve">  </w:t>
      </w:r>
      <w:r>
        <w:rPr>
          <w:rFonts w:hint="eastAsia" w:ascii="宋体" w:hAnsi="宋体"/>
          <w:highlight w:val="none"/>
        </w:rPr>
        <w:t>指</w:t>
      </w:r>
      <w:r>
        <w:rPr>
          <w:szCs w:val="21"/>
          <w:highlight w:val="none"/>
        </w:rPr>
        <w:t>经省、自治区、直辖市、计划单列市高新技术企业认定管理机构认定</w:t>
      </w:r>
      <w:r>
        <w:rPr>
          <w:rFonts w:hint="eastAsia"/>
          <w:szCs w:val="21"/>
          <w:highlight w:val="none"/>
        </w:rPr>
        <w:t>，</w:t>
      </w:r>
      <w:r>
        <w:rPr>
          <w:szCs w:val="21"/>
          <w:highlight w:val="none"/>
        </w:rPr>
        <w:t>并经过全国高新技术企业认定管理工作领导小组备案，获得高新技术企业证书且在有效期内的企业。</w:t>
      </w:r>
    </w:p>
    <w:p>
      <w:pPr>
        <w:spacing w:line="400" w:lineRule="exact"/>
        <w:ind w:firstLine="420" w:firstLineChars="200"/>
        <w:contextualSpacing/>
        <w:rPr>
          <w:szCs w:val="21"/>
          <w:highlight w:val="none"/>
        </w:rPr>
      </w:pPr>
      <w:r>
        <w:rPr>
          <w:rFonts w:eastAsia="黑体"/>
          <w:highlight w:val="none"/>
        </w:rPr>
        <w:t>国内上市企业</w:t>
      </w:r>
      <w:r>
        <w:rPr>
          <w:rFonts w:hint="eastAsia" w:eastAsia="黑体"/>
          <w:highlight w:val="none"/>
        </w:rPr>
        <w:t xml:space="preserve">  </w:t>
      </w:r>
      <w:r>
        <w:rPr>
          <w:rFonts w:hint="eastAsia" w:ascii="宋体" w:hAnsi="宋体"/>
          <w:highlight w:val="none"/>
        </w:rPr>
        <w:t>指</w:t>
      </w:r>
      <w:r>
        <w:rPr>
          <w:szCs w:val="21"/>
          <w:highlight w:val="none"/>
        </w:rPr>
        <w:t>股票已在国内（不含港澳台）股票交易市场正式挂牌交易的企业。</w:t>
      </w:r>
    </w:p>
    <w:p>
      <w:pPr>
        <w:spacing w:line="400" w:lineRule="exact"/>
        <w:ind w:firstLine="420" w:firstLineChars="200"/>
        <w:contextualSpacing/>
        <w:rPr>
          <w:szCs w:val="21"/>
          <w:highlight w:val="none"/>
        </w:rPr>
      </w:pPr>
      <w:r>
        <w:rPr>
          <w:rFonts w:eastAsia="黑体"/>
          <w:highlight w:val="none"/>
        </w:rPr>
        <w:t>境外上市企业</w:t>
      </w:r>
      <w:r>
        <w:rPr>
          <w:rFonts w:hint="eastAsia" w:eastAsia="黑体"/>
          <w:highlight w:val="none"/>
        </w:rPr>
        <w:t xml:space="preserve">  </w:t>
      </w:r>
      <w:r>
        <w:rPr>
          <w:szCs w:val="21"/>
          <w:highlight w:val="none"/>
        </w:rPr>
        <w:t>指股票在境外股票</w:t>
      </w:r>
      <w:r>
        <w:rPr>
          <w:szCs w:val="21"/>
          <w:highlight w:val="none"/>
          <w:lang w:val="zh-TW"/>
        </w:rPr>
        <w:t>交易</w:t>
      </w:r>
      <w:r>
        <w:rPr>
          <w:szCs w:val="21"/>
          <w:highlight w:val="none"/>
        </w:rPr>
        <w:t>市场正式挂牌交易的企业。</w:t>
      </w:r>
    </w:p>
    <w:p>
      <w:pPr>
        <w:spacing w:line="400" w:lineRule="exact"/>
        <w:ind w:firstLine="420" w:firstLineChars="200"/>
        <w:contextualSpacing/>
        <w:rPr>
          <w:b/>
          <w:szCs w:val="21"/>
          <w:highlight w:val="none"/>
          <w:lang w:val="zh-TW"/>
        </w:rPr>
      </w:pPr>
      <w:r>
        <w:rPr>
          <w:rFonts w:eastAsia="黑体"/>
          <w:highlight w:val="none"/>
        </w:rPr>
        <w:t>新三板挂牌企业</w:t>
      </w:r>
      <w:r>
        <w:rPr>
          <w:rFonts w:hint="eastAsia" w:eastAsia="黑体"/>
          <w:highlight w:val="none"/>
        </w:rPr>
        <w:t xml:space="preserve">  </w:t>
      </w:r>
      <w:r>
        <w:rPr>
          <w:rFonts w:hint="eastAsia" w:ascii="宋体" w:hAnsi="宋体"/>
          <w:highlight w:val="none"/>
        </w:rPr>
        <w:t>指</w:t>
      </w:r>
      <w:r>
        <w:rPr>
          <w:szCs w:val="21"/>
          <w:highlight w:val="none"/>
        </w:rPr>
        <w:t>在新三板挂牌的企业数量。</w:t>
      </w:r>
    </w:p>
    <w:p>
      <w:pPr>
        <w:spacing w:line="400" w:lineRule="exact"/>
        <w:ind w:firstLine="420" w:firstLineChars="200"/>
        <w:contextualSpacing/>
        <w:rPr>
          <w:szCs w:val="21"/>
          <w:highlight w:val="none"/>
          <w:lang w:val="zh-TW"/>
        </w:rPr>
      </w:pPr>
      <w:r>
        <w:rPr>
          <w:rFonts w:eastAsia="黑体"/>
          <w:highlight w:val="none"/>
        </w:rPr>
        <w:t>技术先进型服务企业</w:t>
      </w:r>
      <w:r>
        <w:rPr>
          <w:rFonts w:hint="eastAsia" w:eastAsia="黑体"/>
          <w:highlight w:val="none"/>
        </w:rPr>
        <w:t xml:space="preserve">  </w:t>
      </w:r>
      <w:r>
        <w:rPr>
          <w:rFonts w:hint="eastAsia" w:ascii="宋体" w:hAnsi="宋体"/>
          <w:highlight w:val="none"/>
        </w:rPr>
        <w:t>指</w:t>
      </w:r>
      <w:r>
        <w:rPr>
          <w:szCs w:val="21"/>
          <w:highlight w:val="none"/>
        </w:rPr>
        <w:t>经省、</w:t>
      </w:r>
      <w:r>
        <w:rPr>
          <w:szCs w:val="21"/>
          <w:highlight w:val="none"/>
          <w:lang w:val="zh-TW"/>
        </w:rPr>
        <w:t>自治区</w:t>
      </w:r>
      <w:r>
        <w:rPr>
          <w:szCs w:val="21"/>
          <w:highlight w:val="none"/>
        </w:rPr>
        <w:t>、直辖市、计划单列市技术先进型服务企业认定管理机构认定并通过“全国技术先进型服务企业业务办理管理平台”报备，获得备案编号并在有效期内的企业</w:t>
      </w:r>
      <w:r>
        <w:rPr>
          <w:szCs w:val="21"/>
          <w:highlight w:val="none"/>
          <w:lang w:val="zh-TW"/>
        </w:rPr>
        <w:t>。</w:t>
      </w:r>
    </w:p>
    <w:p>
      <w:pPr>
        <w:spacing w:line="400" w:lineRule="exact"/>
        <w:ind w:firstLine="420" w:firstLineChars="200"/>
        <w:contextualSpacing/>
        <w:rPr>
          <w:szCs w:val="21"/>
          <w:highlight w:val="none"/>
        </w:rPr>
      </w:pPr>
      <w:r>
        <w:rPr>
          <w:rFonts w:eastAsia="黑体"/>
          <w:highlight w:val="none"/>
        </w:rPr>
        <w:t>科技型中小企业</w:t>
      </w:r>
      <w:r>
        <w:rPr>
          <w:rFonts w:hint="eastAsia" w:eastAsia="黑体"/>
          <w:highlight w:val="none"/>
        </w:rPr>
        <w:t xml:space="preserve">  </w:t>
      </w:r>
      <w:r>
        <w:rPr>
          <w:highlight w:val="none"/>
        </w:rPr>
        <w:t>指</w:t>
      </w:r>
      <w:r>
        <w:rPr>
          <w:rFonts w:hint="eastAsia"/>
          <w:bCs/>
          <w:highlight w:val="none"/>
        </w:rPr>
        <w:t>符合《科技型中小企业评价办法》（国科发政〔2017〕115号）中规定的相关条件，且在“全国科技型中小企业信息服务平台”通过自主评价</w:t>
      </w:r>
      <w:r>
        <w:rPr>
          <w:szCs w:val="21"/>
          <w:highlight w:val="none"/>
        </w:rPr>
        <w:t>，获得全国科技型中小企业入库登记编号</w:t>
      </w:r>
      <w:r>
        <w:rPr>
          <w:rFonts w:hint="eastAsia"/>
          <w:szCs w:val="21"/>
          <w:highlight w:val="none"/>
        </w:rPr>
        <w:t>，并在</w:t>
      </w:r>
      <w:r>
        <w:rPr>
          <w:szCs w:val="21"/>
          <w:highlight w:val="none"/>
        </w:rPr>
        <w:t>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专精特新中小企业  </w:t>
      </w:r>
      <w:r>
        <w:rPr>
          <w:rFonts w:hint="eastAsia"/>
          <w:b w:val="0"/>
          <w:bCs w:val="0"/>
          <w:color w:val="auto"/>
          <w:highlight w:val="none"/>
        </w:rPr>
        <w:t>指符合《工业和信息化部关于印发〈优质中小企业梯度培育管理暂行办法〉的通知》（工信部企业〔2022〕63号）中规定的相关条件，获得专精特新中小企业认定，并在有效期内的企业。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专精特新“小巨人”企业  </w:t>
      </w:r>
      <w:r>
        <w:rPr>
          <w:rFonts w:hint="eastAsia"/>
          <w:b w:val="0"/>
          <w:bCs w:val="0"/>
          <w:color w:val="auto"/>
          <w:highlight w:val="none"/>
        </w:rPr>
        <w:t>指符合《工业和信息化部关于印发〈优质中小企业梯度培育管理暂行办法〉的通知》（工信部企业〔2022〕63号）中规定的相关条件，获得专精特新“小巨人”企业认定，并在有效期内的企业。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创新型中小企业  </w:t>
      </w:r>
      <w:r>
        <w:rPr>
          <w:rFonts w:hint="eastAsia"/>
          <w:b w:val="0"/>
          <w:bCs w:val="0"/>
          <w:color w:val="auto"/>
          <w:highlight w:val="none"/>
        </w:rPr>
        <w:t>指符合《工业和信息化部关于印发〈优质中小企业梯度培育管理暂行办法〉的通知》（工信部企业〔2022〕63号）中规定的相关条件，获得创新型中小企业认定，并在有效期内的企业。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通过GB/T19001认证企业  </w:t>
      </w:r>
      <w:r>
        <w:rPr>
          <w:rFonts w:hint="eastAsia"/>
          <w:b w:val="0"/>
          <w:bCs w:val="0"/>
          <w:color w:val="auto"/>
          <w:highlight w:val="none"/>
        </w:rPr>
        <w:t>指已经获得</w:t>
      </w:r>
      <w:r>
        <w:rPr>
          <w:rFonts w:hint="eastAsia" w:eastAsia="黑体"/>
          <w:b w:val="0"/>
          <w:bCs w:val="0"/>
          <w:color w:val="auto"/>
          <w:highlight w:val="none"/>
        </w:rPr>
        <w:t>GB/T19001</w:t>
      </w:r>
      <w:r>
        <w:rPr>
          <w:rFonts w:hint="eastAsia"/>
          <w:b w:val="0"/>
          <w:bCs w:val="0"/>
          <w:color w:val="auto"/>
          <w:highlight w:val="none"/>
        </w:rPr>
        <w:t>认证证书的企业。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通过GB/T19580认证企业  </w:t>
      </w:r>
      <w:r>
        <w:rPr>
          <w:rFonts w:hint="eastAsia"/>
          <w:b w:val="0"/>
          <w:bCs w:val="0"/>
          <w:color w:val="auto"/>
          <w:highlight w:val="none"/>
        </w:rPr>
        <w:t>指已经获得GB/T19580认证证书的企业。</w:t>
      </w:r>
    </w:p>
    <w:p>
      <w:pPr>
        <w:spacing w:line="400" w:lineRule="exact"/>
        <w:ind w:firstLine="420" w:firstLineChars="200"/>
        <w:contextualSpacing/>
        <w:rPr>
          <w:szCs w:val="21"/>
          <w:highlight w:val="none"/>
          <w:lang w:val="zh-TW" w:eastAsia="zh-TW"/>
        </w:rPr>
      </w:pPr>
      <w:r>
        <w:rPr>
          <w:rFonts w:eastAsia="黑体"/>
          <w:b w:val="0"/>
          <w:bCs w:val="0"/>
          <w:color w:val="auto"/>
          <w:highlight w:val="none"/>
        </w:rPr>
        <w:t>基地日常管理机构正式编制人员</w:t>
      </w:r>
      <w:r>
        <w:rPr>
          <w:rFonts w:hint="eastAsia" w:eastAsia="黑体"/>
          <w:b w:val="0"/>
          <w:bCs w:val="0"/>
          <w:color w:val="auto"/>
          <w:highlight w:val="none"/>
        </w:rPr>
        <w:t xml:space="preserve">  </w:t>
      </w:r>
      <w:r>
        <w:rPr>
          <w:rFonts w:hint="eastAsia" w:ascii="宋体" w:hAnsi="宋体"/>
          <w:b w:val="0"/>
          <w:bCs w:val="0"/>
          <w:color w:val="auto"/>
          <w:highlight w:val="none"/>
        </w:rPr>
        <w:t>指</w:t>
      </w:r>
      <w:r>
        <w:rPr>
          <w:b w:val="0"/>
          <w:bCs w:val="0"/>
          <w:color w:val="auto"/>
          <w:szCs w:val="21"/>
          <w:highlight w:val="none"/>
          <w:lang w:val="zh-TW"/>
        </w:rPr>
        <w:t>基地独立管理机构所拥有的正式编制工</w:t>
      </w:r>
      <w:r>
        <w:rPr>
          <w:szCs w:val="21"/>
          <w:highlight w:val="none"/>
          <w:lang w:val="zh-TW"/>
        </w:rPr>
        <w:t>作人员。</w:t>
      </w:r>
    </w:p>
    <w:p>
      <w:pPr>
        <w:spacing w:line="400" w:lineRule="exact"/>
        <w:ind w:firstLine="420" w:firstLineChars="200"/>
        <w:contextualSpacing/>
        <w:rPr>
          <w:rFonts w:eastAsia="黑体"/>
          <w:highlight w:val="none"/>
        </w:rPr>
      </w:pPr>
      <w:r>
        <w:rPr>
          <w:rFonts w:hint="eastAsia" w:eastAsia="黑体"/>
          <w:highlight w:val="none"/>
        </w:rPr>
        <w:t>基地</w:t>
      </w:r>
      <w:r>
        <w:rPr>
          <w:rFonts w:eastAsia="黑体"/>
          <w:highlight w:val="none"/>
        </w:rPr>
        <w:t>从业人员</w:t>
      </w:r>
      <w:r>
        <w:rPr>
          <w:rFonts w:hint="eastAsia" w:eastAsia="黑体"/>
          <w:highlight w:val="none"/>
        </w:rPr>
        <w:t xml:space="preserve">  </w:t>
      </w:r>
      <w:r>
        <w:rPr>
          <w:rFonts w:hint="eastAsia" w:ascii="宋体" w:hAnsi="宋体"/>
          <w:highlight w:val="none"/>
        </w:rPr>
        <w:t>指</w:t>
      </w:r>
      <w:r>
        <w:rPr>
          <w:highlight w:val="none"/>
        </w:rPr>
        <w:t>在基地企业中工作</w:t>
      </w:r>
      <w:r>
        <w:rPr>
          <w:rFonts w:hint="eastAsia"/>
          <w:highlight w:val="none"/>
        </w:rPr>
        <w:t>，</w:t>
      </w:r>
      <w:r>
        <w:rPr>
          <w:rFonts w:hint="eastAsia"/>
          <w:bCs/>
          <w:highlight w:val="none"/>
        </w:rPr>
        <w:t xml:space="preserve">并取得工资或其他形式劳动报酬的人员。   </w:t>
      </w:r>
    </w:p>
    <w:p>
      <w:pPr>
        <w:spacing w:line="400" w:lineRule="exact"/>
        <w:ind w:firstLine="420" w:firstLineChars="200"/>
        <w:contextualSpacing/>
        <w:rPr>
          <w:b/>
          <w:szCs w:val="21"/>
          <w:highlight w:val="none"/>
          <w:lang w:val="zh-TW"/>
        </w:rPr>
      </w:pPr>
      <w:r>
        <w:rPr>
          <w:rFonts w:eastAsia="黑体"/>
          <w:highlight w:val="none"/>
        </w:rPr>
        <w:t>大专及以上</w:t>
      </w:r>
      <w:r>
        <w:rPr>
          <w:rFonts w:hint="eastAsia" w:eastAsia="黑体"/>
          <w:highlight w:val="none"/>
        </w:rPr>
        <w:t xml:space="preserve">  </w:t>
      </w:r>
      <w:r>
        <w:rPr>
          <w:rFonts w:hint="eastAsia" w:ascii="宋体" w:hAnsi="宋体"/>
          <w:highlight w:val="none"/>
        </w:rPr>
        <w:t>指</w:t>
      </w:r>
      <w:r>
        <w:rPr>
          <w:rFonts w:hint="eastAsia"/>
          <w:szCs w:val="21"/>
          <w:highlight w:val="none"/>
          <w:lang w:val="zh-TW"/>
        </w:rPr>
        <w:t>获得了大专及以上学历的人员数。</w:t>
      </w:r>
    </w:p>
    <w:p>
      <w:pPr>
        <w:spacing w:line="400" w:lineRule="exact"/>
        <w:ind w:firstLine="420" w:firstLineChars="200"/>
        <w:contextualSpacing/>
        <w:rPr>
          <w:rFonts w:eastAsia="黑体"/>
          <w:highlight w:val="none"/>
        </w:rPr>
      </w:pPr>
      <w:r>
        <w:rPr>
          <w:rFonts w:eastAsia="黑体"/>
          <w:highlight w:val="none"/>
        </w:rPr>
        <w:t>博士</w:t>
      </w:r>
      <w:r>
        <w:rPr>
          <w:rFonts w:hint="eastAsia" w:eastAsia="黑体"/>
          <w:highlight w:val="none"/>
        </w:rPr>
        <w:t xml:space="preserve">  </w:t>
      </w:r>
      <w:r>
        <w:rPr>
          <w:highlight w:val="none"/>
        </w:rPr>
        <w:t>指</w:t>
      </w:r>
      <w:r>
        <w:rPr>
          <w:rFonts w:hint="eastAsia"/>
          <w:highlight w:val="none"/>
        </w:rPr>
        <w:t>接受的最高一级教育为研究生教育并取得毕业证书或获得博士学位证书的人员，不包括肄业、结业、在读或辍学人员。</w:t>
      </w:r>
    </w:p>
    <w:p>
      <w:pPr>
        <w:spacing w:line="400" w:lineRule="exact"/>
        <w:ind w:firstLine="420" w:firstLineChars="200"/>
        <w:contextualSpacing/>
        <w:rPr>
          <w:szCs w:val="21"/>
          <w:highlight w:val="none"/>
          <w:lang w:val="zh-TW"/>
        </w:rPr>
      </w:pPr>
      <w:r>
        <w:rPr>
          <w:rFonts w:eastAsia="黑体"/>
          <w:highlight w:val="none"/>
        </w:rPr>
        <w:t>硕士</w:t>
      </w:r>
      <w:r>
        <w:rPr>
          <w:rFonts w:hint="eastAsia" w:eastAsia="黑体"/>
          <w:highlight w:val="none"/>
        </w:rPr>
        <w:t xml:space="preserve">  </w:t>
      </w:r>
      <w:r>
        <w:rPr>
          <w:highlight w:val="none"/>
        </w:rPr>
        <w:t>指</w:t>
      </w:r>
      <w:r>
        <w:rPr>
          <w:rFonts w:hint="eastAsia"/>
          <w:highlight w:val="none"/>
        </w:rPr>
        <w:t>接受的最高一级教育为研究生教育并取得毕业证书或获得硕士学位证书的人员，不包括肄业、结业、在读或辍学人员。</w:t>
      </w:r>
    </w:p>
    <w:p>
      <w:pPr>
        <w:pStyle w:val="7"/>
        <w:spacing w:line="400" w:lineRule="exact"/>
        <w:ind w:firstLine="420" w:firstLineChars="200"/>
        <w:contextualSpacing/>
        <w:rPr>
          <w:rFonts w:eastAsia="黑体"/>
          <w:highlight w:val="none"/>
        </w:rPr>
      </w:pPr>
      <w:r>
        <w:rPr>
          <w:rFonts w:eastAsia="黑体"/>
          <w:highlight w:val="none"/>
        </w:rPr>
        <w:t>本科</w:t>
      </w:r>
      <w:r>
        <w:rPr>
          <w:rFonts w:hint="eastAsia" w:eastAsia="黑体"/>
          <w:highlight w:val="none"/>
        </w:rPr>
        <w:t xml:space="preserve">  </w:t>
      </w:r>
      <w:r>
        <w:rPr>
          <w:rFonts w:hint="eastAsia" w:ascii="宋体" w:hAnsi="宋体"/>
          <w:highlight w:val="none"/>
        </w:rPr>
        <w:t>指</w:t>
      </w:r>
      <w:r>
        <w:rPr>
          <w:rFonts w:hint="eastAsia"/>
          <w:highlight w:val="none"/>
        </w:rPr>
        <w:t xml:space="preserve">接受的最高一级教育为本科教育并取得毕业证书或获得学士学位证书的人员，不包括肄业、结业、在读或辍学人员。   </w:t>
      </w:r>
    </w:p>
    <w:p>
      <w:pPr>
        <w:pStyle w:val="7"/>
        <w:spacing w:line="400" w:lineRule="exact"/>
        <w:ind w:firstLine="420" w:firstLineChars="200"/>
        <w:contextualSpacing/>
        <w:rPr>
          <w:szCs w:val="21"/>
          <w:highlight w:val="none"/>
        </w:rPr>
      </w:pPr>
      <w:r>
        <w:rPr>
          <w:rFonts w:hint="eastAsia" w:ascii="黑体" w:hAnsi="黑体" w:eastAsia="黑体"/>
          <w:highlight w:val="none"/>
        </w:rPr>
        <w:t xml:space="preserve">基地企业研究开发人员  </w:t>
      </w:r>
      <w:r>
        <w:rPr>
          <w:szCs w:val="21"/>
          <w:highlight w:val="none"/>
        </w:rPr>
        <w:t>指企业内部直接参加科技项目</w:t>
      </w:r>
      <w:r>
        <w:rPr>
          <w:rFonts w:hint="eastAsia"/>
          <w:szCs w:val="21"/>
          <w:highlight w:val="none"/>
        </w:rPr>
        <w:t>活动的人员、</w:t>
      </w:r>
      <w:r>
        <w:rPr>
          <w:szCs w:val="21"/>
          <w:highlight w:val="none"/>
        </w:rPr>
        <w:t>项目管理人员和直接服务人员</w:t>
      </w:r>
      <w:r>
        <w:rPr>
          <w:rFonts w:hint="eastAsia"/>
          <w:szCs w:val="21"/>
          <w:highlight w:val="none"/>
        </w:rPr>
        <w:t>合计</w:t>
      </w:r>
      <w:r>
        <w:rPr>
          <w:szCs w:val="21"/>
          <w:highlight w:val="none"/>
        </w:rPr>
        <w:t>。不包括全年累计从事</w:t>
      </w:r>
      <w:r>
        <w:rPr>
          <w:rFonts w:hint="eastAsia"/>
          <w:szCs w:val="21"/>
          <w:highlight w:val="none"/>
        </w:rPr>
        <w:t>研究开发</w:t>
      </w:r>
      <w:r>
        <w:rPr>
          <w:szCs w:val="21"/>
          <w:highlight w:val="none"/>
        </w:rPr>
        <w:t>活动时间不足制度工作时间10%的人员。</w:t>
      </w:r>
    </w:p>
    <w:p>
      <w:pPr>
        <w:pStyle w:val="7"/>
        <w:spacing w:line="400" w:lineRule="exact"/>
        <w:ind w:firstLine="420" w:firstLineChars="200"/>
        <w:contextualSpacing/>
        <w:rPr>
          <w:szCs w:val="21"/>
          <w:highlight w:val="none"/>
          <w:lang w:val="zh-TW"/>
        </w:rPr>
      </w:pPr>
      <w:r>
        <w:rPr>
          <w:rFonts w:hint="eastAsia" w:ascii="黑体" w:hAnsi="黑体" w:eastAsia="黑体"/>
          <w:highlight w:val="none"/>
        </w:rPr>
        <w:t xml:space="preserve">国家级创新领军人才  </w:t>
      </w:r>
      <w:r>
        <w:rPr>
          <w:szCs w:val="21"/>
          <w:highlight w:val="none"/>
          <w:lang w:val="zh-TW"/>
        </w:rPr>
        <w:t>指院士及国家级标志性专项人才计划的人才数。国家级标志性专项人才计划包括千人计划（海外高层次人才引进计划）、创新人才推进计划、国家杰出青年科学基金，其它如万人计划（国家高层次人才特殊支持计划）、国家有突出贡献中青年专家等。</w:t>
      </w:r>
      <w:r>
        <w:rPr>
          <w:highlight w:val="none"/>
        </w:rPr>
        <w:t>省级创新领军人才</w:t>
      </w:r>
      <w:r>
        <w:rPr>
          <w:szCs w:val="21"/>
          <w:highlight w:val="none"/>
          <w:lang w:val="zh-TW"/>
        </w:rPr>
        <w:t>指省级标志性专项</w:t>
      </w:r>
      <w:r>
        <w:rPr>
          <w:szCs w:val="21"/>
          <w:highlight w:val="none"/>
        </w:rPr>
        <w:t>人才</w:t>
      </w:r>
      <w:r>
        <w:rPr>
          <w:szCs w:val="21"/>
          <w:highlight w:val="none"/>
          <w:lang w:val="zh-TW"/>
        </w:rPr>
        <w:t>计划的人才。</w:t>
      </w:r>
    </w:p>
    <w:p>
      <w:pPr>
        <w:spacing w:line="400" w:lineRule="exact"/>
        <w:ind w:firstLine="420" w:firstLineChars="200"/>
        <w:rPr>
          <w:szCs w:val="21"/>
          <w:highlight w:val="none"/>
        </w:rPr>
      </w:pPr>
      <w:r>
        <w:rPr>
          <w:rFonts w:eastAsia="黑体"/>
          <w:highlight w:val="none"/>
        </w:rPr>
        <w:t>国家工程技术研究中心</w:t>
      </w:r>
      <w:r>
        <w:rPr>
          <w:rFonts w:hint="eastAsia" w:eastAsia="黑体"/>
          <w:highlight w:val="none"/>
        </w:rPr>
        <w:t xml:space="preserve">  </w:t>
      </w:r>
      <w:r>
        <w:rPr>
          <w:rFonts w:hint="eastAsia" w:ascii="宋体" w:hAnsi="宋体"/>
          <w:highlight w:val="none"/>
        </w:rPr>
        <w:t>指</w:t>
      </w:r>
      <w:r>
        <w:rPr>
          <w:szCs w:val="21"/>
          <w:highlight w:val="none"/>
        </w:rPr>
        <w:t>主要依托有关行业和领域中科技实力和创新能力较高的科研机构、高等院校和骨干龙头企业，建成开放、流动、联合、竞争的科研开发实体。国家工程技术研究中心是指国家科技部认定的工程技术研究中心。</w:t>
      </w:r>
    </w:p>
    <w:p>
      <w:pPr>
        <w:spacing w:line="400" w:lineRule="exact"/>
        <w:ind w:firstLine="420" w:firstLineChars="200"/>
        <w:rPr>
          <w:b w:val="0"/>
          <w:bCs/>
          <w:color w:val="auto"/>
          <w:highlight w:val="none"/>
        </w:rPr>
      </w:pPr>
      <w:r>
        <w:rPr>
          <w:rFonts w:hint="eastAsia" w:eastAsia="黑体"/>
          <w:bCs/>
          <w:highlight w:val="none"/>
        </w:rPr>
        <w:t xml:space="preserve">国家工程研究中心  </w:t>
      </w:r>
      <w:r>
        <w:rPr>
          <w:rFonts w:hint="eastAsia"/>
          <w:bCs/>
          <w:highlight w:val="none"/>
        </w:rPr>
        <w:t>指国家发展改革委根据建设创新型国家和产业结构优化升级的重大战略需求，以提高自主创新能力、增强产业核心竞争能力和发展后劲为目标，组织具有较强研究开发和综合实力的高</w:t>
      </w:r>
      <w:r>
        <w:rPr>
          <w:rFonts w:hint="eastAsia"/>
          <w:b w:val="0"/>
          <w:bCs/>
          <w:color w:val="auto"/>
          <w:highlight w:val="none"/>
        </w:rPr>
        <w:t>校、科研机构和企业等建设的研究开发实体。</w:t>
      </w:r>
    </w:p>
    <w:p>
      <w:pPr>
        <w:spacing w:line="400" w:lineRule="exact"/>
        <w:ind w:firstLine="420" w:firstLineChars="200"/>
        <w:rPr>
          <w:rFonts w:hint="eastAsia"/>
          <w:b w:val="0"/>
          <w:bCs/>
          <w:color w:val="auto"/>
          <w:highlight w:val="none"/>
        </w:rPr>
      </w:pPr>
      <w:r>
        <w:rPr>
          <w:rFonts w:eastAsia="黑体"/>
          <w:b w:val="0"/>
          <w:bCs/>
          <w:color w:val="auto"/>
          <w:highlight w:val="none"/>
        </w:rPr>
        <w:t>国家技术创新中心</w:t>
      </w:r>
      <w:r>
        <w:rPr>
          <w:rFonts w:hint="eastAsia" w:eastAsia="黑体"/>
          <w:b w:val="0"/>
          <w:bCs/>
          <w:color w:val="auto"/>
          <w:highlight w:val="none"/>
        </w:rPr>
        <w:t xml:space="preserve">  </w:t>
      </w:r>
      <w:r>
        <w:rPr>
          <w:rFonts w:hint="eastAsia"/>
          <w:b w:val="0"/>
          <w:bCs/>
          <w:color w:val="auto"/>
          <w:highlight w:val="none"/>
        </w:rPr>
        <w:t>指科技部依据相关管理办法认定的国家技术创新中心。国家技术创新中心旨在实现从科学到技术的转化，促进重大基础研究成果产业化，以关键技术研发为核心使命，产学研协同推动科技成果转移转化与产业化，为区域和产业发展提供源头技术供给，为科技型中小企业孵化、培育和发展提供创新服务，为支撑产业向中高端迈进、实现高质量发展发挥战略引领作用。</w:t>
      </w:r>
    </w:p>
    <w:p>
      <w:pPr>
        <w:spacing w:line="400" w:lineRule="exact"/>
        <w:ind w:firstLine="420" w:firstLineChars="200"/>
        <w:rPr>
          <w:b w:val="0"/>
          <w:bCs/>
          <w:color w:val="auto"/>
          <w:szCs w:val="21"/>
          <w:highlight w:val="none"/>
          <w:lang w:val="zh-TW" w:eastAsia="zh-TW"/>
        </w:rPr>
      </w:pPr>
      <w:r>
        <w:rPr>
          <w:rFonts w:hint="eastAsia" w:eastAsia="黑体"/>
          <w:b w:val="0"/>
          <w:bCs/>
          <w:color w:val="auto"/>
          <w:highlight w:val="none"/>
        </w:rPr>
        <w:t xml:space="preserve">国家制造业创新中心  </w:t>
      </w:r>
      <w:r>
        <w:rPr>
          <w:b w:val="0"/>
          <w:bCs/>
          <w:color w:val="auto"/>
          <w:highlight w:val="none"/>
        </w:rPr>
        <w:t>指</w:t>
      </w:r>
      <w:r>
        <w:rPr>
          <w:rFonts w:hint="eastAsia"/>
          <w:b w:val="0"/>
          <w:bCs/>
          <w:color w:val="auto"/>
          <w:highlight w:val="none"/>
        </w:rPr>
        <w:t>经工业和信息化部认定的、主导产业领域的国家制造业创新中心。</w:t>
      </w:r>
    </w:p>
    <w:p>
      <w:pPr>
        <w:spacing w:line="400" w:lineRule="exact"/>
        <w:ind w:firstLine="420" w:firstLineChars="200"/>
        <w:rPr>
          <w:rFonts w:hint="eastAsia"/>
          <w:b w:val="0"/>
          <w:bCs/>
          <w:color w:val="auto"/>
          <w:highlight w:val="none"/>
        </w:rPr>
      </w:pPr>
      <w:r>
        <w:rPr>
          <w:rFonts w:eastAsia="黑体"/>
          <w:b w:val="0"/>
          <w:bCs/>
          <w:color w:val="auto"/>
          <w:highlight w:val="none"/>
        </w:rPr>
        <w:t>重点实验室</w:t>
      </w:r>
      <w:r>
        <w:rPr>
          <w:rFonts w:hint="eastAsia" w:eastAsia="黑体"/>
          <w:b w:val="0"/>
          <w:bCs/>
          <w:color w:val="auto"/>
          <w:highlight w:val="none"/>
        </w:rPr>
        <w:t xml:space="preserve">  </w:t>
      </w:r>
      <w:r>
        <w:rPr>
          <w:rFonts w:hint="eastAsia"/>
          <w:b w:val="0"/>
          <w:bCs/>
          <w:color w:val="auto"/>
          <w:highlight w:val="none"/>
        </w:rPr>
        <w:t>指依托大学、科研院所和其他具有原始创新能力的机构建设的科研实体。省级及以上重点实验室是指由省级及以上科技管理部门依据相关管理办法认定的重点实验室。全国重点实验室指按照科技部《全国重点实验室建设标准(试行)》，获批优化重组和建设的国家级实验室。</w:t>
      </w:r>
    </w:p>
    <w:p>
      <w:pPr>
        <w:spacing w:line="400" w:lineRule="exact"/>
        <w:ind w:firstLine="420" w:firstLineChars="200"/>
        <w:rPr>
          <w:bCs/>
          <w:highlight w:val="none"/>
        </w:rPr>
      </w:pPr>
      <w:r>
        <w:rPr>
          <w:rFonts w:eastAsia="黑体"/>
          <w:b w:val="0"/>
          <w:bCs/>
          <w:color w:val="auto"/>
          <w:highlight w:val="none"/>
        </w:rPr>
        <w:t>企业技术中心</w:t>
      </w:r>
      <w:r>
        <w:rPr>
          <w:rFonts w:hint="eastAsia" w:eastAsia="黑体"/>
          <w:b w:val="0"/>
          <w:bCs/>
          <w:color w:val="auto"/>
          <w:highlight w:val="none"/>
        </w:rPr>
        <w:t xml:space="preserve">  </w:t>
      </w:r>
      <w:r>
        <w:rPr>
          <w:b w:val="0"/>
          <w:bCs/>
          <w:color w:val="auto"/>
          <w:szCs w:val="21"/>
          <w:highlight w:val="none"/>
        </w:rPr>
        <w:t>指以企业为主体投资兴建的具有较完善的技术开发仪器设备和试验条件</w:t>
      </w:r>
      <w:r>
        <w:rPr>
          <w:szCs w:val="21"/>
          <w:highlight w:val="none"/>
        </w:rPr>
        <w:t>，拥有一定规模的专职研究与试验发展人员和一定的研究开发投入的技术创新机构。</w:t>
      </w:r>
      <w:r>
        <w:rPr>
          <w:rFonts w:hint="eastAsia"/>
          <w:bCs/>
          <w:highlight w:val="none"/>
        </w:rPr>
        <w:t>省级及以上企业技术中心是指由省级及以上单位认定的企业技术中心。国家认定企业技术中心是指由国家发展改革委会同科技部、财政部、海关总署、国家税务总局认定的企业技术中心。</w:t>
      </w:r>
    </w:p>
    <w:p>
      <w:pPr>
        <w:spacing w:line="400" w:lineRule="exact"/>
        <w:ind w:firstLine="420" w:firstLineChars="200"/>
        <w:rPr>
          <w:highlight w:val="none"/>
          <w:shd w:val="clear" w:color="auto" w:fill="FFFFFF"/>
        </w:rPr>
      </w:pPr>
      <w:r>
        <w:rPr>
          <w:rFonts w:hint="eastAsia" w:ascii="黑体" w:hAnsi="黑体" w:eastAsia="黑体"/>
          <w:highlight w:val="none"/>
        </w:rPr>
        <w:t xml:space="preserve">新型研发机构  </w:t>
      </w:r>
      <w:r>
        <w:rPr>
          <w:rFonts w:hint="eastAsia" w:ascii="宋体" w:hAnsi="宋体"/>
          <w:highlight w:val="none"/>
        </w:rPr>
        <w:t>指</w:t>
      </w:r>
      <w:r>
        <w:rPr>
          <w:rFonts w:hint="eastAsia"/>
          <w:highlight w:val="none"/>
        </w:rPr>
        <w:t>经省级科技管理部门依据相关管理办法认定的新型研发机构数量。新型研发机构</w:t>
      </w:r>
      <w:r>
        <w:rPr>
          <w:rFonts w:hint="eastAsia"/>
          <w:highlight w:val="none"/>
          <w:shd w:val="clear" w:color="auto" w:fill="FFFFFF"/>
        </w:rPr>
        <w:t>是聚焦科技创新需求，主要从事科学研究、技术创新和研发服务，投资主体多元化、管理制度现代化、运行机制市场化、用人机制灵活的独立法人机构，可依法注册为科技类民办非企业单位（社会服务机构）、事业单位和企业。</w:t>
      </w:r>
    </w:p>
    <w:p>
      <w:pPr>
        <w:spacing w:line="400" w:lineRule="exact"/>
        <w:ind w:firstLine="420" w:firstLineChars="200"/>
        <w:rPr>
          <w:szCs w:val="21"/>
          <w:highlight w:val="none"/>
        </w:rPr>
      </w:pPr>
      <w:r>
        <w:rPr>
          <w:rFonts w:eastAsia="黑体"/>
          <w:highlight w:val="none"/>
        </w:rPr>
        <w:t>产品检验检测机构</w:t>
      </w:r>
      <w:r>
        <w:rPr>
          <w:rFonts w:hint="eastAsia" w:eastAsia="黑体"/>
          <w:highlight w:val="none"/>
        </w:rPr>
        <w:t xml:space="preserve">  </w:t>
      </w:r>
      <w:r>
        <w:rPr>
          <w:szCs w:val="21"/>
          <w:highlight w:val="none"/>
        </w:rPr>
        <w:t>指依据有关法律、法规和技术标准，利用相关仪器和设备或相应技术手段，为社会提供各类委托检验检测服务的第三方技术服务机构。</w:t>
      </w:r>
    </w:p>
    <w:p>
      <w:pPr>
        <w:spacing w:line="400" w:lineRule="exact"/>
        <w:ind w:firstLine="420"/>
        <w:rPr>
          <w:highlight w:val="none"/>
        </w:rPr>
      </w:pPr>
      <w:r>
        <w:rPr>
          <w:rFonts w:hint="eastAsia" w:eastAsia="黑体"/>
          <w:highlight w:val="none"/>
        </w:rPr>
        <w:t>科技企业</w:t>
      </w:r>
      <w:r>
        <w:rPr>
          <w:rFonts w:eastAsia="黑体"/>
          <w:highlight w:val="none"/>
        </w:rPr>
        <w:t>孵化器</w:t>
      </w:r>
      <w:r>
        <w:rPr>
          <w:rFonts w:hint="eastAsia" w:eastAsia="黑体"/>
          <w:highlight w:val="none"/>
        </w:rPr>
        <w:t xml:space="preserve">  </w:t>
      </w:r>
      <w:r>
        <w:rPr>
          <w:szCs w:val="21"/>
          <w:highlight w:val="none"/>
        </w:rPr>
        <w:t>指</w:t>
      </w:r>
      <w:r>
        <w:rPr>
          <w:highlight w:val="none"/>
        </w:rPr>
        <w:t>以科技型创业企业为服务对象，以促进科技成果转化、培养高新技术企业和企业家为宗旨的科技创业服务载体。</w:t>
      </w:r>
    </w:p>
    <w:p>
      <w:pPr>
        <w:spacing w:line="400" w:lineRule="exact"/>
        <w:ind w:firstLine="420"/>
        <w:rPr>
          <w:highlight w:val="none"/>
        </w:rPr>
      </w:pPr>
      <w:r>
        <w:rPr>
          <w:rFonts w:hint="eastAsia" w:eastAsia="黑体"/>
          <w:highlight w:val="none"/>
        </w:rPr>
        <w:t xml:space="preserve">国家级科技企业孵化器  </w:t>
      </w:r>
      <w:r>
        <w:rPr>
          <w:rFonts w:hint="eastAsia"/>
          <w:highlight w:val="none"/>
        </w:rPr>
        <w:t>指</w:t>
      </w:r>
      <w:r>
        <w:rPr>
          <w:highlight w:val="none"/>
        </w:rPr>
        <w:t>由</w:t>
      </w:r>
      <w:r>
        <w:rPr>
          <w:rFonts w:hint="eastAsia"/>
          <w:highlight w:val="none"/>
        </w:rPr>
        <w:t>相关部委</w:t>
      </w:r>
      <w:r>
        <w:rPr>
          <w:highlight w:val="none"/>
        </w:rPr>
        <w:t>认定的科技企业孵化器。</w:t>
      </w:r>
    </w:p>
    <w:p>
      <w:pPr>
        <w:spacing w:line="400" w:lineRule="exact"/>
        <w:ind w:firstLine="420" w:firstLineChars="200"/>
        <w:rPr>
          <w:rFonts w:hint="eastAsia"/>
          <w:b w:val="0"/>
          <w:bCs/>
          <w:color w:val="auto"/>
          <w:highlight w:val="none"/>
        </w:rPr>
      </w:pPr>
      <w:r>
        <w:rPr>
          <w:rFonts w:hint="eastAsia" w:eastAsia="黑体"/>
          <w:b w:val="0"/>
          <w:bCs/>
          <w:color w:val="auto"/>
          <w:highlight w:val="none"/>
        </w:rPr>
        <w:t xml:space="preserve">国家小型微型企业创业创新示范基地  </w:t>
      </w:r>
      <w:r>
        <w:rPr>
          <w:rFonts w:hint="eastAsia"/>
          <w:b w:val="0"/>
          <w:bCs/>
          <w:color w:val="auto"/>
          <w:highlight w:val="none"/>
        </w:rPr>
        <w:t>指由工业和信息化部认定且在有效期内的小型微型企业创业创新示范基地。</w:t>
      </w:r>
    </w:p>
    <w:p>
      <w:pPr>
        <w:spacing w:line="400" w:lineRule="exact"/>
        <w:ind w:firstLine="420" w:firstLineChars="200"/>
        <w:rPr>
          <w:rFonts w:hint="eastAsia"/>
          <w:b w:val="0"/>
          <w:bCs/>
          <w:color w:val="auto"/>
          <w:highlight w:val="none"/>
        </w:rPr>
      </w:pPr>
      <w:r>
        <w:rPr>
          <w:rFonts w:hint="eastAsia" w:eastAsia="黑体"/>
          <w:b w:val="0"/>
          <w:bCs/>
          <w:color w:val="auto"/>
          <w:highlight w:val="none"/>
        </w:rPr>
        <w:t xml:space="preserve">国家中小企业公共服务示范平台  </w:t>
      </w:r>
      <w:r>
        <w:rPr>
          <w:rFonts w:hint="eastAsia"/>
          <w:b w:val="0"/>
          <w:bCs/>
          <w:color w:val="auto"/>
          <w:highlight w:val="none"/>
        </w:rPr>
        <w:t>指由工业和信息化部认定且在有效期内的国家中小企业公共服务示范平台。</w:t>
      </w:r>
    </w:p>
    <w:p>
      <w:pPr>
        <w:spacing w:line="400" w:lineRule="exact"/>
        <w:ind w:firstLine="420" w:firstLineChars="200"/>
        <w:rPr>
          <w:szCs w:val="21"/>
          <w:highlight w:val="none"/>
        </w:rPr>
      </w:pPr>
      <w:r>
        <w:rPr>
          <w:rFonts w:eastAsia="黑体"/>
          <w:highlight w:val="none"/>
        </w:rPr>
        <w:t>国家技术转移机构</w:t>
      </w:r>
      <w:r>
        <w:rPr>
          <w:rFonts w:hint="eastAsia" w:eastAsia="黑体"/>
          <w:highlight w:val="none"/>
        </w:rPr>
        <w:t xml:space="preserve">  </w:t>
      </w:r>
      <w:r>
        <w:rPr>
          <w:rFonts w:hint="eastAsia" w:ascii="宋体" w:hAnsi="宋体"/>
          <w:highlight w:val="none"/>
        </w:rPr>
        <w:t>指</w:t>
      </w:r>
      <w:r>
        <w:rPr>
          <w:rFonts w:hint="eastAsia"/>
          <w:szCs w:val="21"/>
          <w:highlight w:val="none"/>
        </w:rPr>
        <w:t>由</w:t>
      </w:r>
      <w:r>
        <w:rPr>
          <w:szCs w:val="21"/>
          <w:highlight w:val="none"/>
        </w:rPr>
        <w:t>科技部认定的国家技术转移机构。</w:t>
      </w:r>
    </w:p>
    <w:p>
      <w:pPr>
        <w:spacing w:line="400" w:lineRule="exact"/>
        <w:ind w:firstLine="420" w:firstLineChars="200"/>
        <w:rPr>
          <w:b/>
          <w:szCs w:val="21"/>
          <w:highlight w:val="none"/>
          <w:lang w:val="zh-TW"/>
        </w:rPr>
      </w:pPr>
      <w:r>
        <w:rPr>
          <w:rFonts w:eastAsia="黑体"/>
          <w:highlight w:val="none"/>
        </w:rPr>
        <w:t>金融服务机构</w:t>
      </w:r>
      <w:r>
        <w:rPr>
          <w:rFonts w:hint="eastAsia" w:eastAsia="黑体"/>
          <w:highlight w:val="none"/>
        </w:rPr>
        <w:t xml:space="preserve">  </w:t>
      </w:r>
      <w:r>
        <w:rPr>
          <w:rFonts w:hint="eastAsia" w:ascii="宋体" w:hAnsi="宋体"/>
          <w:highlight w:val="none"/>
        </w:rPr>
        <w:t>指</w:t>
      </w:r>
      <w:r>
        <w:rPr>
          <w:szCs w:val="21"/>
          <w:highlight w:val="none"/>
        </w:rPr>
        <w:t>创业风险投资机构、担保公司、小额贷款公司、科技融资租赁公司、科技金融服务机构等。</w:t>
      </w:r>
    </w:p>
    <w:p>
      <w:pPr>
        <w:spacing w:line="400" w:lineRule="exact"/>
        <w:ind w:firstLine="420" w:firstLineChars="200"/>
        <w:rPr>
          <w:rFonts w:eastAsia="黑体"/>
          <w:highlight w:val="none"/>
        </w:rPr>
      </w:pPr>
      <w:r>
        <w:rPr>
          <w:rFonts w:eastAsia="黑体"/>
          <w:highlight w:val="none"/>
        </w:rPr>
        <w:t>知识产权服务机构</w:t>
      </w:r>
      <w:r>
        <w:rPr>
          <w:rFonts w:hint="eastAsia" w:eastAsia="黑体"/>
          <w:highlight w:val="none"/>
        </w:rPr>
        <w:t xml:space="preserve">  </w:t>
      </w:r>
      <w:r>
        <w:rPr>
          <w:szCs w:val="21"/>
          <w:highlight w:val="none"/>
        </w:rPr>
        <w:t>指提供知识产权服务的机构。知识产权服务是指针对专利、商标、版权、著作权、软件、集成电路布图设计等的代理、转让、登记、鉴定、评估、认定、咨询、检索等活动。</w:t>
      </w:r>
    </w:p>
    <w:p>
      <w:pPr>
        <w:spacing w:line="400" w:lineRule="exact"/>
        <w:ind w:firstLine="420" w:firstLineChars="200"/>
        <w:rPr>
          <w:szCs w:val="21"/>
          <w:highlight w:val="none"/>
          <w:lang w:val="zh-TW" w:eastAsia="zh-TW"/>
        </w:rPr>
      </w:pPr>
      <w:r>
        <w:rPr>
          <w:rFonts w:eastAsia="黑体"/>
          <w:highlight w:val="none"/>
        </w:rPr>
        <w:t>行业组织</w:t>
      </w:r>
      <w:r>
        <w:rPr>
          <w:rFonts w:hint="eastAsia" w:eastAsia="黑体"/>
          <w:highlight w:val="none"/>
        </w:rPr>
        <w:t xml:space="preserve">  </w:t>
      </w:r>
      <w:r>
        <w:rPr>
          <w:szCs w:val="21"/>
          <w:highlight w:val="none"/>
          <w:lang w:val="zh-TW"/>
        </w:rPr>
        <w:t>指行业协会、行业学会、产业技术创新联盟等组织。</w:t>
      </w:r>
    </w:p>
    <w:p>
      <w:pPr>
        <w:spacing w:line="400" w:lineRule="exact"/>
        <w:ind w:firstLine="420" w:firstLineChars="200"/>
        <w:rPr>
          <w:b/>
          <w:szCs w:val="21"/>
          <w:highlight w:val="none"/>
          <w:lang w:val="zh-TW" w:eastAsia="zh-TW"/>
        </w:rPr>
      </w:pPr>
      <w:r>
        <w:rPr>
          <w:rFonts w:eastAsia="黑体"/>
          <w:highlight w:val="none"/>
        </w:rPr>
        <w:t>工业总产值</w:t>
      </w:r>
      <w:r>
        <w:rPr>
          <w:rFonts w:hint="eastAsia" w:eastAsia="黑体"/>
          <w:highlight w:val="none"/>
        </w:rPr>
        <w:t xml:space="preserve">  </w:t>
      </w:r>
      <w:r>
        <w:rPr>
          <w:szCs w:val="21"/>
          <w:highlight w:val="none"/>
        </w:rPr>
        <w:t>指工业企业在报告期内生产的以货币形式表现的工业最终产品和提供工业劳动活动的总价值量</w:t>
      </w:r>
      <w:r>
        <w:rPr>
          <w:szCs w:val="21"/>
          <w:highlight w:val="none"/>
          <w:lang w:val="zh-TW"/>
        </w:rPr>
        <w:t>。</w:t>
      </w:r>
    </w:p>
    <w:p>
      <w:pPr>
        <w:spacing w:line="400" w:lineRule="exact"/>
        <w:ind w:firstLine="420" w:firstLineChars="200"/>
        <w:rPr>
          <w:rFonts w:hint="eastAsia"/>
          <w:b w:val="0"/>
          <w:bCs w:val="0"/>
          <w:color w:val="auto"/>
          <w:szCs w:val="21"/>
          <w:highlight w:val="none"/>
        </w:rPr>
      </w:pPr>
      <w:r>
        <w:rPr>
          <w:rFonts w:eastAsia="黑体"/>
          <w:b w:val="0"/>
          <w:bCs w:val="0"/>
          <w:color w:val="auto"/>
          <w:highlight w:val="none"/>
        </w:rPr>
        <w:t>营业收入</w:t>
      </w:r>
      <w:r>
        <w:rPr>
          <w:rFonts w:hint="eastAsia" w:eastAsia="黑体"/>
          <w:b w:val="0"/>
          <w:bCs w:val="0"/>
          <w:color w:val="auto"/>
          <w:highlight w:val="none"/>
        </w:rPr>
        <w:t xml:space="preserve">  </w:t>
      </w:r>
      <w:r>
        <w:rPr>
          <w:rFonts w:hint="eastAsia" w:ascii="宋体" w:hAnsi="宋体" w:cs="宋体"/>
          <w:b w:val="0"/>
          <w:bCs w:val="0"/>
          <w:color w:val="auto"/>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rFonts w:hint="eastAsia"/>
          <w:b w:val="0"/>
          <w:bCs w:val="0"/>
          <w:color w:val="auto"/>
          <w:szCs w:val="21"/>
          <w:highlight w:val="none"/>
        </w:rPr>
      </w:pPr>
      <w:r>
        <w:rPr>
          <w:rFonts w:hint="eastAsia" w:eastAsia="黑体"/>
          <w:b w:val="0"/>
          <w:bCs w:val="0"/>
          <w:color w:val="auto"/>
          <w:highlight w:val="none"/>
        </w:rPr>
        <w:t>高新技术</w:t>
      </w:r>
      <w:r>
        <w:rPr>
          <w:rFonts w:eastAsia="黑体"/>
          <w:b w:val="0"/>
          <w:bCs w:val="0"/>
          <w:color w:val="auto"/>
          <w:highlight w:val="none"/>
        </w:rPr>
        <w:t>产品销售收入</w:t>
      </w:r>
      <w:r>
        <w:rPr>
          <w:rFonts w:hint="eastAsia" w:eastAsia="黑体"/>
          <w:b w:val="0"/>
          <w:bCs w:val="0"/>
          <w:color w:val="auto"/>
          <w:highlight w:val="none"/>
        </w:rPr>
        <w:t xml:space="preserve">  </w:t>
      </w:r>
      <w:r>
        <w:rPr>
          <w:rFonts w:hint="eastAsia"/>
          <w:b w:val="0"/>
          <w:bCs w:val="0"/>
          <w:color w:val="auto"/>
          <w:szCs w:val="21"/>
          <w:highlight w:val="none"/>
        </w:rPr>
        <w:t>指企业报告期内生产的符合国家和省高新技术重点范围、技术领域和产品参考目录的全新型产品；或省内首次生产的换代型产品；或国内首次生产的改进型产品；或属创新产品等；具较高的技术含量和较高的附加值的产品所形成的销售收入。</w:t>
      </w:r>
    </w:p>
    <w:p>
      <w:pPr>
        <w:spacing w:line="400" w:lineRule="exact"/>
        <w:ind w:firstLine="420" w:firstLineChars="200"/>
        <w:rPr>
          <w:b w:val="0"/>
          <w:bCs w:val="0"/>
          <w:color w:val="auto"/>
          <w:szCs w:val="21"/>
          <w:highlight w:val="none"/>
          <w:lang w:eastAsia="zh-TW"/>
        </w:rPr>
      </w:pPr>
      <w:r>
        <w:rPr>
          <w:rFonts w:eastAsia="黑体"/>
          <w:b w:val="0"/>
          <w:bCs w:val="0"/>
          <w:color w:val="auto"/>
          <w:highlight w:val="none"/>
        </w:rPr>
        <w:t>技术性收入</w:t>
      </w:r>
      <w:r>
        <w:rPr>
          <w:rFonts w:hint="eastAsia" w:eastAsia="黑体"/>
          <w:b w:val="0"/>
          <w:bCs w:val="0"/>
          <w:color w:val="auto"/>
          <w:highlight w:val="none"/>
        </w:rPr>
        <w:t xml:space="preserve">  </w:t>
      </w:r>
      <w:r>
        <w:rPr>
          <w:b w:val="0"/>
          <w:bCs w:val="0"/>
          <w:color w:val="auto"/>
          <w:szCs w:val="21"/>
          <w:highlight w:val="none"/>
        </w:rPr>
        <w:t>指企业或科技服务机构从事技术开发</w:t>
      </w:r>
      <w:r>
        <w:rPr>
          <w:b w:val="0"/>
          <w:bCs w:val="0"/>
          <w:color w:val="auto"/>
          <w:szCs w:val="21"/>
          <w:highlight w:val="none"/>
          <w:lang w:val="zh-TW"/>
        </w:rPr>
        <w:t>、</w:t>
      </w:r>
      <w:r>
        <w:rPr>
          <w:b w:val="0"/>
          <w:bCs w:val="0"/>
          <w:color w:val="auto"/>
          <w:szCs w:val="21"/>
          <w:highlight w:val="none"/>
          <w:lang w:val="zh-TW" w:eastAsia="zh-TW"/>
        </w:rPr>
        <w:t>技术转让</w:t>
      </w:r>
      <w:r>
        <w:rPr>
          <w:b w:val="0"/>
          <w:bCs w:val="0"/>
          <w:color w:val="auto"/>
          <w:szCs w:val="21"/>
          <w:highlight w:val="none"/>
          <w:lang w:val="zh-TW"/>
        </w:rPr>
        <w:t>、</w:t>
      </w:r>
      <w:r>
        <w:rPr>
          <w:rFonts w:hint="eastAsia"/>
          <w:b w:val="0"/>
          <w:bCs w:val="0"/>
          <w:color w:val="auto"/>
          <w:szCs w:val="21"/>
          <w:highlight w:val="none"/>
          <w:lang w:val="zh-TW"/>
        </w:rPr>
        <w:t>技术许可、</w:t>
      </w:r>
      <w:r>
        <w:rPr>
          <w:b w:val="0"/>
          <w:bCs w:val="0"/>
          <w:color w:val="auto"/>
          <w:szCs w:val="21"/>
          <w:highlight w:val="none"/>
          <w:lang w:val="zh-TW" w:eastAsia="zh-TW"/>
        </w:rPr>
        <w:t>技术咨询</w:t>
      </w:r>
      <w:r>
        <w:rPr>
          <w:b w:val="0"/>
          <w:bCs w:val="0"/>
          <w:color w:val="auto"/>
          <w:szCs w:val="21"/>
          <w:highlight w:val="none"/>
          <w:lang w:val="zh-TW"/>
        </w:rPr>
        <w:t>、</w:t>
      </w:r>
      <w:r>
        <w:rPr>
          <w:b w:val="0"/>
          <w:bCs w:val="0"/>
          <w:color w:val="auto"/>
          <w:szCs w:val="21"/>
          <w:highlight w:val="none"/>
          <w:lang w:val="zh-TW" w:eastAsia="zh-TW"/>
        </w:rPr>
        <w:t>技术服务的收入</w:t>
      </w:r>
      <w:r>
        <w:rPr>
          <w:b w:val="0"/>
          <w:bCs w:val="0"/>
          <w:color w:val="auto"/>
          <w:szCs w:val="21"/>
          <w:highlight w:val="none"/>
          <w:lang w:val="zh-TW"/>
        </w:rPr>
        <w:t>。</w:t>
      </w:r>
    </w:p>
    <w:p>
      <w:pPr>
        <w:spacing w:line="400" w:lineRule="exact"/>
        <w:ind w:firstLine="420" w:firstLineChars="200"/>
        <w:rPr>
          <w:b w:val="0"/>
          <w:bCs w:val="0"/>
          <w:color w:val="auto"/>
          <w:szCs w:val="21"/>
          <w:highlight w:val="none"/>
          <w:lang w:val="zh-TW" w:eastAsia="zh-TW"/>
        </w:rPr>
      </w:pPr>
      <w:r>
        <w:rPr>
          <w:rFonts w:eastAsia="黑体"/>
          <w:b w:val="0"/>
          <w:bCs w:val="0"/>
          <w:color w:val="auto"/>
          <w:highlight w:val="none"/>
        </w:rPr>
        <w:t>出口总额</w:t>
      </w:r>
      <w:r>
        <w:rPr>
          <w:rFonts w:hint="eastAsia" w:eastAsia="黑体"/>
          <w:b w:val="0"/>
          <w:bCs w:val="0"/>
          <w:color w:val="auto"/>
          <w:highlight w:val="none"/>
        </w:rPr>
        <w:t xml:space="preserve">  </w:t>
      </w:r>
      <w:r>
        <w:rPr>
          <w:b w:val="0"/>
          <w:bCs w:val="0"/>
          <w:color w:val="auto"/>
          <w:szCs w:val="21"/>
          <w:highlight w:val="none"/>
          <w:lang w:val="zh-TW" w:eastAsia="zh-TW"/>
        </w:rPr>
        <w:t>指企业自营</w:t>
      </w:r>
      <w:r>
        <w:rPr>
          <w:b w:val="0"/>
          <w:bCs w:val="0"/>
          <w:color w:val="auto"/>
          <w:szCs w:val="21"/>
          <w:highlight w:val="none"/>
          <w:lang w:val="zh-TW"/>
        </w:rPr>
        <w:t>（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pPr>
        <w:adjustRightInd w:val="0"/>
        <w:snapToGrid w:val="0"/>
        <w:spacing w:line="400" w:lineRule="exact"/>
        <w:ind w:firstLine="420" w:firstLineChars="200"/>
        <w:rPr>
          <w:b w:val="0"/>
          <w:bCs w:val="0"/>
          <w:color w:val="auto"/>
          <w:szCs w:val="21"/>
          <w:highlight w:val="none"/>
          <w:lang w:val="zh-TW" w:eastAsia="zh-TW"/>
        </w:rPr>
      </w:pPr>
      <w:r>
        <w:rPr>
          <w:rFonts w:eastAsia="黑体"/>
          <w:b w:val="0"/>
          <w:bCs w:val="0"/>
          <w:color w:val="auto"/>
          <w:highlight w:val="none"/>
        </w:rPr>
        <w:t>实际上缴税费总额</w:t>
      </w:r>
      <w:r>
        <w:rPr>
          <w:rFonts w:hint="eastAsia" w:eastAsia="黑体"/>
          <w:b w:val="0"/>
          <w:bCs w:val="0"/>
          <w:color w:val="auto"/>
          <w:highlight w:val="none"/>
        </w:rPr>
        <w:t xml:space="preserve">  </w:t>
      </w:r>
      <w:r>
        <w:rPr>
          <w:b w:val="0"/>
          <w:bCs w:val="0"/>
          <w:color w:val="auto"/>
          <w:szCs w:val="21"/>
          <w:highlight w:val="none"/>
        </w:rPr>
        <w:t>指企业</w:t>
      </w:r>
      <w:r>
        <w:rPr>
          <w:rFonts w:hint="eastAsia"/>
          <w:b w:val="0"/>
          <w:bCs w:val="0"/>
          <w:color w:val="auto"/>
          <w:highlight w:val="none"/>
        </w:rPr>
        <w:t>因生产经营等活动而实际上缴的各项税金、特种基金和附加费，包含印花税、土地使用税、房地产税及教育附加费等，不包含代扣代缴个人所得税和关税。按当年实际发生额填报。</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利润总额  </w:t>
      </w:r>
      <w:r>
        <w:rPr>
          <w:b w:val="0"/>
          <w:bCs w:val="0"/>
          <w:color w:val="auto"/>
          <w:highlight w:val="none"/>
        </w:rPr>
        <w:t>指</w:t>
      </w:r>
      <w:r>
        <w:rPr>
          <w:rFonts w:hint="eastAsia"/>
          <w:b w:val="0"/>
          <w:bCs w:val="0"/>
          <w:color w:val="auto"/>
          <w:highlight w:val="none"/>
        </w:rPr>
        <w:t>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pPr>
        <w:widowControl/>
        <w:spacing w:line="400" w:lineRule="exact"/>
        <w:ind w:firstLine="420" w:firstLineChars="200"/>
        <w:jc w:val="left"/>
        <w:rPr>
          <w:rFonts w:ascii="宋体" w:hAnsi="宋体" w:cs="Arial"/>
          <w:b w:val="0"/>
          <w:bCs w:val="0"/>
          <w:color w:val="auto"/>
          <w:szCs w:val="21"/>
          <w:highlight w:val="none"/>
        </w:rPr>
      </w:pPr>
      <w:r>
        <w:rPr>
          <w:rFonts w:hint="eastAsia" w:ascii="黑体" w:hAnsi="黑体" w:eastAsia="黑体"/>
          <w:b w:val="0"/>
          <w:bCs w:val="0"/>
          <w:color w:val="auto"/>
          <w:szCs w:val="21"/>
          <w:highlight w:val="none"/>
        </w:rPr>
        <w:t xml:space="preserve">认定登记的技术合同项数  </w:t>
      </w:r>
      <w:r>
        <w:rPr>
          <w:b w:val="0"/>
          <w:bCs w:val="0"/>
          <w:color w:val="auto"/>
          <w:szCs w:val="21"/>
          <w:highlight w:val="none"/>
        </w:rPr>
        <w:t>指报告期内企业在科技部门和商务部门进行认定登记的技术合同数量。技术合同的类型包括</w:t>
      </w:r>
      <w:r>
        <w:rPr>
          <w:rFonts w:hint="eastAsia"/>
          <w:b w:val="0"/>
          <w:bCs w:val="0"/>
          <w:color w:val="auto"/>
          <w:szCs w:val="21"/>
          <w:highlight w:val="none"/>
        </w:rPr>
        <w:t>5类：</w:t>
      </w:r>
      <w:r>
        <w:rPr>
          <w:b w:val="0"/>
          <w:bCs w:val="0"/>
          <w:color w:val="auto"/>
          <w:szCs w:val="21"/>
          <w:highlight w:val="none"/>
        </w:rPr>
        <w:t>技术开发、技术转让、</w:t>
      </w:r>
      <w:r>
        <w:rPr>
          <w:rFonts w:hint="eastAsia"/>
          <w:b w:val="0"/>
          <w:bCs w:val="0"/>
          <w:color w:val="auto"/>
          <w:szCs w:val="21"/>
          <w:highlight w:val="none"/>
        </w:rPr>
        <w:t>技术许可、</w:t>
      </w:r>
      <w:r>
        <w:rPr>
          <w:b w:val="0"/>
          <w:bCs w:val="0"/>
          <w:color w:val="auto"/>
          <w:szCs w:val="21"/>
          <w:highlight w:val="none"/>
        </w:rPr>
        <w:t>技术咨询和技术服务。</w:t>
      </w:r>
      <w:r>
        <w:rPr>
          <w:rFonts w:hint="eastAsia" w:ascii="宋体" w:hAnsi="宋体" w:cs="Arial"/>
          <w:b w:val="0"/>
          <w:bCs w:val="0"/>
          <w:color w:val="auto"/>
          <w:szCs w:val="21"/>
          <w:highlight w:val="none"/>
        </w:rPr>
        <w:t>不包括获得国家和省市各类支持计划所签订的技术合同。</w:t>
      </w:r>
    </w:p>
    <w:p>
      <w:pPr>
        <w:spacing w:line="400" w:lineRule="exact"/>
        <w:ind w:firstLine="420" w:firstLineChars="200"/>
        <w:rPr>
          <w:rFonts w:ascii="宋体" w:hAnsi="宋体" w:cs="宋体"/>
          <w:b w:val="0"/>
          <w:bCs w:val="0"/>
          <w:color w:val="auto"/>
          <w:kern w:val="0"/>
          <w:sz w:val="32"/>
          <w:szCs w:val="32"/>
          <w:highlight w:val="none"/>
        </w:rPr>
      </w:pPr>
      <w:r>
        <w:rPr>
          <w:rFonts w:hint="eastAsia" w:eastAsia="黑体"/>
          <w:b w:val="0"/>
          <w:bCs w:val="0"/>
          <w:color w:val="auto"/>
          <w:highlight w:val="none"/>
        </w:rPr>
        <w:t xml:space="preserve">认定登记的技术合同成交额  </w:t>
      </w:r>
      <w:r>
        <w:rPr>
          <w:rFonts w:hint="eastAsia"/>
          <w:b w:val="0"/>
          <w:bCs w:val="0"/>
          <w:color w:val="auto"/>
          <w:highlight w:val="none"/>
        </w:rPr>
        <w:t>指报告期内企业作为卖方签订的技术合同成交项目的总金额。</w:t>
      </w:r>
    </w:p>
    <w:p>
      <w:pPr>
        <w:spacing w:line="400" w:lineRule="exact"/>
        <w:ind w:firstLine="420" w:firstLineChars="200"/>
        <w:rPr>
          <w:b w:val="0"/>
          <w:bCs w:val="0"/>
          <w:color w:val="auto"/>
          <w:szCs w:val="21"/>
          <w:highlight w:val="none"/>
        </w:rPr>
      </w:pPr>
      <w:r>
        <w:rPr>
          <w:rFonts w:eastAsia="黑体"/>
          <w:b w:val="0"/>
          <w:bCs w:val="0"/>
          <w:color w:val="auto"/>
          <w:highlight w:val="none"/>
        </w:rPr>
        <w:t>资金总投入</w:t>
      </w:r>
      <w:r>
        <w:rPr>
          <w:b w:val="0"/>
          <w:bCs w:val="0"/>
          <w:color w:val="auto"/>
          <w:szCs w:val="21"/>
          <w:highlight w:val="none"/>
        </w:rPr>
        <w:t>指报告期内基地内用于所有项目的资金投入。</w:t>
      </w:r>
    </w:p>
    <w:p>
      <w:pPr>
        <w:spacing w:line="400" w:lineRule="exact"/>
        <w:ind w:firstLine="420" w:firstLineChars="200"/>
        <w:rPr>
          <w:b w:val="0"/>
          <w:bCs w:val="0"/>
          <w:color w:val="auto"/>
          <w:szCs w:val="21"/>
          <w:highlight w:val="none"/>
        </w:rPr>
      </w:pPr>
      <w:r>
        <w:rPr>
          <w:rFonts w:eastAsia="黑体"/>
          <w:b w:val="0"/>
          <w:bCs w:val="0"/>
          <w:color w:val="auto"/>
          <w:highlight w:val="none"/>
        </w:rPr>
        <w:t>用于支撑服务机构的公共投入</w:t>
      </w:r>
      <w:r>
        <w:rPr>
          <w:rFonts w:hint="eastAsia" w:eastAsia="黑体"/>
          <w:b w:val="0"/>
          <w:bCs w:val="0"/>
          <w:color w:val="auto"/>
          <w:highlight w:val="none"/>
        </w:rPr>
        <w:t xml:space="preserve">  </w:t>
      </w:r>
      <w:r>
        <w:rPr>
          <w:b w:val="0"/>
          <w:bCs w:val="0"/>
          <w:color w:val="auto"/>
          <w:szCs w:val="21"/>
          <w:highlight w:val="none"/>
        </w:rPr>
        <w:t>指报告期内各级政府用于支撑服务机构发展的资金投入。</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  </w:t>
      </w:r>
      <w:r>
        <w:rPr>
          <w:rFonts w:hint="eastAsia" w:ascii="宋体" w:hAnsi="宋体" w:cs="宋体"/>
          <w:b w:val="0"/>
          <w:bCs w:val="0"/>
          <w:color w:val="auto"/>
          <w:highlight w:val="none"/>
        </w:rPr>
        <w:t>指报告期内企业用于研究开发活动的费用合计，包括人员人工费用、直接投入费用、折旧费用与长期待摊费用、无形资产摊销费用、设计费用、装备调试费用与试验费用、委托外部研究开发费用及其他费用。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辅助账中研究开发费用对应。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研究开发费用合计中人员人工费用  </w:t>
      </w:r>
      <w:r>
        <w:rPr>
          <w:rFonts w:hint="eastAsia" w:ascii="宋体" w:hAnsi="宋体" w:cs="宋体"/>
          <w:b w:val="0"/>
          <w:bCs w:val="0"/>
          <w:color w:val="auto"/>
          <w:highlight w:val="none"/>
        </w:rPr>
        <w:t>指报告期内企业研究开发人员的工资薪金、基本养老保险费、基本医疗保险费、失业保险费、工伤保险费、生育保险费和住房公积金，以及外聘研究开发人员的劳务费用等。该指标应与企业会计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辅助账中人员人工费用对应。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研究开发费用合计中直接投入费用  </w:t>
      </w:r>
      <w:r>
        <w:rPr>
          <w:rFonts w:hint="eastAsia" w:ascii="宋体" w:hAnsi="宋体" w:cs="宋体"/>
          <w:b w:val="0"/>
          <w:bCs w:val="0"/>
          <w:color w:val="auto"/>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辅助账中直接投入费用对应。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研究开发费用合计中折旧费用与长期待摊费用  </w:t>
      </w:r>
      <w:r>
        <w:rPr>
          <w:rFonts w:hint="eastAsia" w:ascii="宋体" w:hAnsi="宋体" w:cs="宋体"/>
          <w:b w:val="0"/>
          <w:bCs w:val="0"/>
          <w:color w:val="auto"/>
          <w:highlight w:val="none"/>
        </w:rPr>
        <w:t>指报告期内企业用于研究开发活动的仪器、设备和在用建筑物的折旧费，以及研究开发设施的改建、改装、装修和修理过程中发生的长期待摊费用等。该指标应与企业会计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辅助账中折旧费用（与长期待摊费用）对应。</w:t>
      </w:r>
    </w:p>
    <w:p>
      <w:pPr>
        <w:spacing w:line="400" w:lineRule="exact"/>
        <w:ind w:firstLine="420" w:firstLineChars="200"/>
        <w:rPr>
          <w:rFonts w:ascii="宋体" w:cs="宋体"/>
          <w:b w:val="0"/>
          <w:bCs w:val="0"/>
          <w:color w:val="auto"/>
          <w:highlight w:val="none"/>
        </w:rPr>
      </w:pPr>
      <w:r>
        <w:rPr>
          <w:rFonts w:hint="eastAsia" w:ascii="黑体" w:hAnsi="宋体" w:eastAsia="黑体" w:cs="黑体"/>
          <w:b w:val="0"/>
          <w:bCs w:val="0"/>
          <w:color w:val="auto"/>
          <w:highlight w:val="none"/>
        </w:rPr>
        <w:t xml:space="preserve">研究开发费用合计中无形资产摊销费用  </w:t>
      </w:r>
      <w:r>
        <w:rPr>
          <w:rFonts w:hint="eastAsia" w:ascii="宋体" w:hAnsi="宋体" w:cs="宋体"/>
          <w:b w:val="0"/>
          <w:bCs w:val="0"/>
          <w:color w:val="auto"/>
          <w:highlight w:val="none"/>
        </w:rPr>
        <w:t>指报告期内企业用于研究开发活动的软件、知识产权、非专利技术（专有技术、许可证、设计和计算方法等）的摊销费用等。该指标应与企业会计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辅助账中无形资产摊销费用对应。</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研究开发费用合计中设计费用  </w:t>
      </w:r>
      <w:r>
        <w:rPr>
          <w:rFonts w:hint="eastAsia" w:ascii="宋体" w:hAnsi="宋体" w:cs="宋体"/>
          <w:b w:val="0"/>
          <w:bCs w:val="0"/>
          <w:color w:val="auto"/>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填报研究开发项目所</w:t>
      </w:r>
      <w:r>
        <w:rPr>
          <w:rFonts w:ascii="宋体" w:hAnsi="宋体" w:cs="宋体"/>
          <w:b w:val="0"/>
          <w:bCs w:val="0"/>
          <w:color w:val="auto"/>
          <w:highlight w:val="none"/>
        </w:rPr>
        <w:t>依据的</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辅助账中设计费用对应。对于按照研究开发费用加计扣除减免政策进行核算的企业，该指标应与其新产品设计费用和新工艺规程制定费用合计对应。</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研究开发费用合计中装备调试费用与试验费用  </w:t>
      </w:r>
      <w:r>
        <w:rPr>
          <w:rFonts w:hint="eastAsia" w:ascii="宋体" w:hAnsi="宋体" w:cs="宋体"/>
          <w:b w:val="0"/>
          <w:bCs w:val="0"/>
          <w:color w:val="auto"/>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填报研究开发项目所</w:t>
      </w:r>
      <w:r>
        <w:rPr>
          <w:rFonts w:ascii="宋体" w:hAnsi="宋体" w:cs="宋体"/>
          <w:b w:val="0"/>
          <w:bCs w:val="0"/>
          <w:color w:val="auto"/>
          <w:highlight w:val="none"/>
        </w:rPr>
        <w:t>依据的</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辅助账中装备调试费用与试验费用对应。对于按照研究开发费用加计扣除减免政策进行核算的企业，该指标应与其新药研制的临床试验费和勘探开发技术的现场试验费合计对应。</w:t>
      </w:r>
    </w:p>
    <w:p>
      <w:pPr>
        <w:spacing w:line="400" w:lineRule="exact"/>
        <w:ind w:firstLine="420" w:firstLineChars="200"/>
        <w:rPr>
          <w:rFonts w:ascii="宋体" w:cs="宋体"/>
          <w:b w:val="0"/>
          <w:bCs w:val="0"/>
          <w:color w:val="auto"/>
          <w:highlight w:val="none"/>
        </w:rPr>
      </w:pPr>
      <w:r>
        <w:rPr>
          <w:rFonts w:hint="eastAsia" w:ascii="黑体" w:hAnsi="宋体" w:eastAsia="黑体" w:cs="黑体"/>
          <w:b w:val="0"/>
          <w:bCs w:val="0"/>
          <w:color w:val="auto"/>
          <w:highlight w:val="none"/>
        </w:rPr>
        <w:t xml:space="preserve">研究开发费用合计中委托外部研究开发费用  </w:t>
      </w:r>
      <w:r>
        <w:rPr>
          <w:rFonts w:hint="eastAsia" w:ascii="宋体" w:hAnsi="宋体" w:cs="宋体"/>
          <w:b w:val="0"/>
          <w:bCs w:val="0"/>
          <w:color w:val="auto"/>
          <w:highlight w:val="none"/>
        </w:rPr>
        <w:t>指报告期内企业委托境内外其他机构进行研究开发活动所发生的费用。该指标应与企业会计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辅助账中委托外部研究开发费用对应。</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委托外部研究开发费用中委托境内研究机构  </w:t>
      </w:r>
      <w:r>
        <w:rPr>
          <w:rFonts w:hint="eastAsia" w:ascii="宋体" w:hAnsi="宋体" w:cs="宋体"/>
          <w:b w:val="0"/>
          <w:bCs w:val="0"/>
          <w:color w:val="auto"/>
          <w:highlight w:val="none"/>
        </w:rPr>
        <w:t>指报告期内企业委托境内独立研究机构开展研究开发活动而支付予其的费用。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委托外部研究开发费用中委托境内高等学校  </w:t>
      </w:r>
      <w:r>
        <w:rPr>
          <w:rFonts w:hint="eastAsia" w:ascii="宋体" w:hAnsi="宋体" w:cs="宋体"/>
          <w:b w:val="0"/>
          <w:bCs w:val="0"/>
          <w:color w:val="auto"/>
          <w:highlight w:val="none"/>
        </w:rPr>
        <w:t>指报告期内企业委托境内高等学校开展研究开发活动而支付予其的费用。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委托外部研究开发费用中委托境内企业  </w:t>
      </w:r>
      <w:r>
        <w:rPr>
          <w:rFonts w:hint="eastAsia" w:ascii="宋体" w:hAnsi="宋体" w:cs="宋体"/>
          <w:b w:val="0"/>
          <w:bCs w:val="0"/>
          <w:color w:val="auto"/>
          <w:highlight w:val="none"/>
        </w:rPr>
        <w:t>指报告期内企业委托境内其他企业开展研究开发活动而支付予其的费用。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委托外部研究开发费用中委托境外机构  </w:t>
      </w:r>
      <w:r>
        <w:rPr>
          <w:rFonts w:hint="eastAsia" w:ascii="宋体" w:hAnsi="宋体" w:cs="宋体"/>
          <w:b w:val="0"/>
          <w:bCs w:val="0"/>
          <w:color w:val="auto"/>
          <w:highlight w:val="none"/>
        </w:rPr>
        <w:t>指报告期内企业委托国外或港澳台机构开展研究开发活动而支付予其的费用。</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研究开发费用合计中其他费用  </w:t>
      </w:r>
      <w:r>
        <w:rPr>
          <w:rFonts w:hint="eastAsia" w:ascii="宋体" w:hAnsi="宋体" w:cs="宋体"/>
          <w:b w:val="0"/>
          <w:bCs w:val="0"/>
          <w:color w:val="auto"/>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辅助账中其他费用对应。</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来自</w:t>
      </w:r>
      <w:r>
        <w:rPr>
          <w:rFonts w:ascii="黑体" w:hAnsi="黑体" w:eastAsia="黑体" w:cs="宋体"/>
          <w:b w:val="0"/>
          <w:bCs w:val="0"/>
          <w:color w:val="auto"/>
          <w:highlight w:val="none"/>
        </w:rPr>
        <w:t>企业自筹</w:t>
      </w:r>
      <w:r>
        <w:rPr>
          <w:rFonts w:hint="eastAsia" w:ascii="黑体" w:hAnsi="黑体" w:eastAsia="黑体" w:cs="宋体"/>
          <w:b w:val="0"/>
          <w:bCs w:val="0"/>
          <w:color w:val="auto"/>
          <w:highlight w:val="none"/>
        </w:rPr>
        <w:t xml:space="preserve">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于企业自有资金的研究开发经费合计，包括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 xml:space="preserve">来自政府部门 </w:t>
      </w:r>
      <w:r>
        <w:rPr>
          <w:rFonts w:hint="eastAsia" w:ascii="宋体" w:hAnsi="宋体" w:cs="宋体"/>
          <w:b w:val="0"/>
          <w:bCs w:val="0"/>
          <w:color w:val="auto"/>
          <w:highlight w:val="none"/>
        </w:rPr>
        <w:t xml:space="preserve"> 指报告期内企业从政府有关部门获得的研究开发经费合计，包括科技专项费、科研基建费、政府专项基金和补贴等。该指标应与有关会计科目计入的从政府有关部门获得的研究开发经费对应。</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来自</w:t>
      </w:r>
      <w:r>
        <w:rPr>
          <w:rFonts w:ascii="黑体" w:hAnsi="黑体" w:eastAsia="黑体" w:cs="宋体"/>
          <w:b w:val="0"/>
          <w:bCs w:val="0"/>
          <w:color w:val="auto"/>
          <w:highlight w:val="none"/>
        </w:rPr>
        <w:t>银行贷款</w:t>
      </w:r>
      <w:r>
        <w:rPr>
          <w:rFonts w:hint="eastAsia" w:ascii="黑体" w:hAnsi="黑体" w:eastAsia="黑体" w:cs="宋体"/>
          <w:b w:val="0"/>
          <w:bCs w:val="0"/>
          <w:color w:val="auto"/>
          <w:highlight w:val="none"/>
        </w:rPr>
        <w:t xml:space="preserve">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于银行贷款的研究开发经费合计</w:t>
      </w:r>
      <w:r>
        <w:rPr>
          <w:rFonts w:hint="eastAsia" w:ascii="宋体" w:hAnsi="宋体" w:cs="宋体"/>
          <w:b w:val="0"/>
          <w:bCs w:val="0"/>
          <w:color w:val="auto"/>
          <w:highlight w:val="none"/>
        </w:rPr>
        <w:t>，</w:t>
      </w:r>
      <w:r>
        <w:rPr>
          <w:rFonts w:ascii="宋体" w:hAnsi="宋体" w:cs="宋体"/>
          <w:b w:val="0"/>
          <w:bCs w:val="0"/>
          <w:color w:val="auto"/>
          <w:highlight w:val="none"/>
        </w:rPr>
        <w:t>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 xml:space="preserve">来自风险投资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w:t>
      </w:r>
      <w:r>
        <w:rPr>
          <w:rFonts w:hint="eastAsia" w:ascii="宋体" w:hAnsi="宋体" w:cs="宋体"/>
          <w:b w:val="0"/>
          <w:bCs w:val="0"/>
          <w:color w:val="auto"/>
          <w:highlight w:val="none"/>
        </w:rPr>
        <w:t>风险投资(</w:t>
      </w:r>
      <w:r>
        <w:rPr>
          <w:rFonts w:ascii="宋体" w:hAnsi="宋体" w:cs="宋体"/>
          <w:b w:val="0"/>
          <w:bCs w:val="0"/>
          <w:color w:val="auto"/>
          <w:highlight w:val="none"/>
        </w:rPr>
        <w:t>VC</w:t>
      </w:r>
      <w:r>
        <w:rPr>
          <w:rFonts w:hint="eastAsia" w:ascii="宋体" w:hAnsi="宋体" w:cs="宋体"/>
          <w:b w:val="0"/>
          <w:bCs w:val="0"/>
          <w:color w:val="auto"/>
          <w:highlight w:val="none"/>
        </w:rPr>
        <w:t>)</w:t>
      </w:r>
      <w:r>
        <w:rPr>
          <w:rFonts w:ascii="宋体" w:hAnsi="宋体" w:cs="宋体"/>
          <w:b w:val="0"/>
          <w:bCs w:val="0"/>
          <w:color w:val="auto"/>
          <w:highlight w:val="none"/>
        </w:rPr>
        <w:t>的研究开发经费合计</w:t>
      </w:r>
      <w:r>
        <w:rPr>
          <w:rFonts w:hint="eastAsia" w:ascii="宋体" w:hAnsi="宋体" w:cs="宋体"/>
          <w:b w:val="0"/>
          <w:bCs w:val="0"/>
          <w:color w:val="auto"/>
          <w:highlight w:val="none"/>
        </w:rPr>
        <w:t>，</w:t>
      </w:r>
      <w:r>
        <w:rPr>
          <w:rFonts w:ascii="宋体" w:hAnsi="宋体" w:cs="宋体"/>
          <w:b w:val="0"/>
          <w:bCs w:val="0"/>
          <w:color w:val="auto"/>
          <w:highlight w:val="none"/>
        </w:rPr>
        <w:t>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widowControl/>
        <w:spacing w:line="400" w:lineRule="exact"/>
        <w:ind w:firstLine="420" w:firstLineChars="200"/>
        <w:rPr>
          <w:rFonts w:ascii="黑体" w:hAnsi="黑体" w:eastAsia="黑体" w:cs="宋体"/>
          <w:b w:val="0"/>
          <w:bCs w:val="0"/>
          <w:color w:val="auto"/>
          <w:highlight w:val="none"/>
        </w:rPr>
      </w:pPr>
      <w:r>
        <w:rPr>
          <w:rFonts w:hint="eastAsia" w:ascii="黑体" w:hAnsi="黑体" w:eastAsia="黑体" w:cs="宋体"/>
          <w:b w:val="0"/>
          <w:bCs w:val="0"/>
          <w:color w:val="auto"/>
          <w:highlight w:val="none"/>
        </w:rPr>
        <w:t xml:space="preserve">来自其他渠道  </w:t>
      </w:r>
      <w:r>
        <w:rPr>
          <w:rFonts w:hint="eastAsia" w:ascii="宋体" w:hAnsi="宋体" w:cs="宋体"/>
          <w:b w:val="0"/>
          <w:bCs w:val="0"/>
          <w:color w:val="auto"/>
          <w:highlight w:val="none"/>
        </w:rPr>
        <w:t>指报告期内企业其他不属于</w:t>
      </w:r>
      <w:r>
        <w:rPr>
          <w:rFonts w:ascii="宋体" w:hAnsi="宋体" w:cs="宋体"/>
          <w:b w:val="0"/>
          <w:bCs w:val="0"/>
          <w:color w:val="auto"/>
          <w:highlight w:val="none"/>
        </w:rPr>
        <w:t>以上</w:t>
      </w:r>
      <w:r>
        <w:rPr>
          <w:rFonts w:hint="eastAsia" w:ascii="宋体" w:hAnsi="宋体" w:cs="宋体"/>
          <w:b w:val="0"/>
          <w:bCs w:val="0"/>
          <w:color w:val="auto"/>
          <w:highlight w:val="none"/>
        </w:rPr>
        <w:t>资金</w:t>
      </w:r>
      <w:r>
        <w:rPr>
          <w:rFonts w:ascii="宋体" w:hAnsi="宋体" w:cs="宋体"/>
          <w:b w:val="0"/>
          <w:bCs w:val="0"/>
          <w:color w:val="auto"/>
          <w:highlight w:val="none"/>
        </w:rPr>
        <w:t>来源的研究开发经费合计</w:t>
      </w:r>
      <w:r>
        <w:rPr>
          <w:rFonts w:hint="eastAsia" w:ascii="宋体" w:hAnsi="宋体" w:cs="宋体"/>
          <w:b w:val="0"/>
          <w:bCs w:val="0"/>
          <w:color w:val="auto"/>
          <w:highlight w:val="none"/>
        </w:rPr>
        <w:t>，比如</w:t>
      </w:r>
      <w:r>
        <w:rPr>
          <w:rFonts w:ascii="宋体" w:hAnsi="宋体" w:cs="宋体"/>
          <w:b w:val="0"/>
          <w:bCs w:val="0"/>
          <w:color w:val="auto"/>
          <w:highlight w:val="none"/>
        </w:rPr>
        <w:t>捐赠、</w:t>
      </w:r>
      <w:r>
        <w:rPr>
          <w:rFonts w:hint="eastAsia" w:ascii="宋体" w:hAnsi="宋体" w:cs="宋体"/>
          <w:b w:val="0"/>
          <w:bCs w:val="0"/>
          <w:color w:val="auto"/>
          <w:highlight w:val="none"/>
        </w:rPr>
        <w:t>受委托</w:t>
      </w:r>
      <w:r>
        <w:rPr>
          <w:rFonts w:ascii="宋体" w:hAnsi="宋体" w:cs="宋体"/>
          <w:b w:val="0"/>
          <w:bCs w:val="0"/>
          <w:color w:val="auto"/>
          <w:highlight w:val="none"/>
        </w:rPr>
        <w:t>等。</w:t>
      </w:r>
    </w:p>
    <w:p>
      <w:pPr>
        <w:spacing w:line="400" w:lineRule="exact"/>
        <w:ind w:firstLine="420" w:firstLineChars="200"/>
        <w:rPr>
          <w:rFonts w:hint="eastAsia"/>
          <w:b w:val="0"/>
          <w:bCs w:val="0"/>
          <w:color w:val="auto"/>
          <w:highlight w:val="none"/>
        </w:rPr>
      </w:pPr>
      <w:r>
        <w:rPr>
          <w:rFonts w:eastAsia="黑体"/>
          <w:b w:val="0"/>
          <w:bCs w:val="0"/>
          <w:color w:val="auto"/>
          <w:highlight w:val="none"/>
        </w:rPr>
        <w:t>规模以上企业数字化设计工具普及率</w:t>
      </w:r>
      <w:r>
        <w:rPr>
          <w:rFonts w:hint="eastAsia" w:eastAsia="黑体"/>
          <w:b w:val="0"/>
          <w:bCs w:val="0"/>
          <w:color w:val="auto"/>
          <w:highlight w:val="none"/>
        </w:rPr>
        <w:t xml:space="preserve">  </w:t>
      </w:r>
      <w:r>
        <w:rPr>
          <w:rFonts w:hint="eastAsia"/>
          <w:b w:val="0"/>
          <w:bCs w:val="0"/>
          <w:color w:val="auto"/>
          <w:highlight w:val="none"/>
        </w:rPr>
        <w:t>指基地内使用数字化研发设计工具的规上企业占全部规上企业的比重。数字化研发设计工具：辅助企业开展产品设计，实现数字化建模、仿真、验证等功能的软件工具。</w:t>
      </w:r>
    </w:p>
    <w:p>
      <w:pPr>
        <w:spacing w:line="400" w:lineRule="exact"/>
        <w:ind w:firstLine="420" w:firstLineChars="200"/>
        <w:rPr>
          <w:rFonts w:hint="eastAsia"/>
          <w:b w:val="0"/>
          <w:bCs w:val="0"/>
          <w:color w:val="auto"/>
          <w:highlight w:val="none"/>
        </w:rPr>
      </w:pPr>
      <w:r>
        <w:rPr>
          <w:rFonts w:eastAsia="黑体"/>
          <w:b w:val="0"/>
          <w:bCs w:val="0"/>
          <w:color w:val="auto"/>
          <w:highlight w:val="none"/>
        </w:rPr>
        <w:t>规模以上工业企业关键工序数控化率</w:t>
      </w:r>
      <w:r>
        <w:rPr>
          <w:rFonts w:hint="eastAsia" w:eastAsia="黑体"/>
          <w:b w:val="0"/>
          <w:bCs w:val="0"/>
          <w:color w:val="auto"/>
          <w:highlight w:val="none"/>
        </w:rPr>
        <w:t xml:space="preserve">  </w:t>
      </w:r>
      <w:r>
        <w:rPr>
          <w:rFonts w:hint="eastAsia"/>
          <w:b w:val="0"/>
          <w:bCs w:val="0"/>
          <w:color w:val="auto"/>
          <w:highlight w:val="none"/>
        </w:rPr>
        <w:t>指基地内规上企业关键工序数控化率均值，其中流程行业关键工序数控化率是关键工序中过程控制系统（例如PLC、DSC、PCS等）的覆盖率，离散行业关键工序数控化率是关键工序中数控系统（例如NC、DNC、CNC、FMC等）的覆盖率。</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工业互联网平台  </w:t>
      </w:r>
      <w:r>
        <w:rPr>
          <w:rFonts w:hint="eastAsia"/>
          <w:b w:val="0"/>
          <w:bCs w:val="0"/>
          <w:color w:val="auto"/>
          <w:highlight w:val="none"/>
        </w:rPr>
        <w:t>指面向制造业数字化转型需求，在支撑制造资源泛在连接、弹性供给、高效配置等方面，提供海量数据采集、汇聚、分析服务的平台。</w:t>
      </w:r>
    </w:p>
    <w:p>
      <w:pPr>
        <w:spacing w:line="400" w:lineRule="exact"/>
        <w:ind w:firstLine="420" w:firstLineChars="200"/>
        <w:contextualSpacing/>
        <w:rPr>
          <w:b w:val="0"/>
          <w:bCs w:val="0"/>
          <w:color w:val="auto"/>
          <w:szCs w:val="21"/>
          <w:highlight w:val="none"/>
        </w:rPr>
      </w:pPr>
      <w:r>
        <w:rPr>
          <w:rFonts w:hint="eastAsia" w:eastAsia="黑体"/>
          <w:b w:val="0"/>
          <w:bCs w:val="0"/>
          <w:color w:val="auto"/>
          <w:highlight w:val="none"/>
        </w:rPr>
        <w:t xml:space="preserve">规模以上万元工业增加值能耗  </w:t>
      </w:r>
      <w:r>
        <w:rPr>
          <w:rFonts w:hint="eastAsia" w:ascii="宋体" w:hAnsi="宋体"/>
          <w:b w:val="0"/>
          <w:bCs w:val="0"/>
          <w:color w:val="auto"/>
          <w:highlight w:val="none"/>
        </w:rPr>
        <w:t>指</w:t>
      </w:r>
      <w:r>
        <w:rPr>
          <w:b w:val="0"/>
          <w:bCs w:val="0"/>
          <w:color w:val="auto"/>
          <w:szCs w:val="21"/>
          <w:highlight w:val="none"/>
          <w:lang w:val="zh-TW"/>
        </w:rPr>
        <w:t>规模</w:t>
      </w:r>
      <w:r>
        <w:rPr>
          <w:b w:val="0"/>
          <w:bCs w:val="0"/>
          <w:color w:val="auto"/>
          <w:szCs w:val="21"/>
          <w:highlight w:val="none"/>
        </w:rPr>
        <w:t>以上工业企业能源消耗总量与规模以上工业企业工业增加值之比，计算公式为：万元增加值综合能耗=能源消耗总量（吨标准煤，以用电度数折算为标准煤</w:t>
      </w:r>
      <w:r>
        <w:rPr>
          <w:rFonts w:hint="eastAsia"/>
          <w:b w:val="0"/>
          <w:bCs w:val="0"/>
          <w:color w:val="auto"/>
          <w:szCs w:val="21"/>
          <w:highlight w:val="none"/>
        </w:rPr>
        <w:t>）</w:t>
      </w:r>
      <w:r>
        <w:rPr>
          <w:b w:val="0"/>
          <w:bCs w:val="0"/>
          <w:color w:val="auto"/>
          <w:szCs w:val="21"/>
          <w:highlight w:val="none"/>
        </w:rPr>
        <w:t>/工业增加值（万元）。</w:t>
      </w:r>
    </w:p>
    <w:p>
      <w:pPr>
        <w:spacing w:line="400" w:lineRule="exact"/>
        <w:ind w:firstLine="420" w:firstLineChars="200"/>
        <w:contextualSpacing/>
        <w:rPr>
          <w:b w:val="0"/>
          <w:bCs w:val="0"/>
          <w:color w:val="auto"/>
          <w:szCs w:val="21"/>
          <w:highlight w:val="none"/>
          <w:lang w:val="zh-TW"/>
        </w:rPr>
      </w:pPr>
      <w:r>
        <w:rPr>
          <w:rFonts w:eastAsia="黑体"/>
          <w:b w:val="0"/>
          <w:bCs w:val="0"/>
          <w:color w:val="auto"/>
          <w:highlight w:val="none"/>
        </w:rPr>
        <w:t>工业污水处理率</w:t>
      </w:r>
      <w:r>
        <w:rPr>
          <w:rFonts w:hint="eastAsia" w:eastAsia="黑体"/>
          <w:b w:val="0"/>
          <w:bCs w:val="0"/>
          <w:color w:val="auto"/>
          <w:highlight w:val="none"/>
        </w:rPr>
        <w:t xml:space="preserve">  </w:t>
      </w:r>
      <w:r>
        <w:rPr>
          <w:rFonts w:hint="eastAsia" w:ascii="宋体" w:hAnsi="宋体"/>
          <w:b w:val="0"/>
          <w:bCs w:val="0"/>
          <w:color w:val="auto"/>
          <w:highlight w:val="none"/>
        </w:rPr>
        <w:t>指</w:t>
      </w:r>
      <w:r>
        <w:rPr>
          <w:b w:val="0"/>
          <w:bCs w:val="0"/>
          <w:color w:val="auto"/>
          <w:szCs w:val="21"/>
          <w:highlight w:val="none"/>
          <w:lang w:val="zh-TW"/>
        </w:rPr>
        <w:t>经过处理的</w:t>
      </w:r>
      <w:r>
        <w:rPr>
          <w:b w:val="0"/>
          <w:bCs w:val="0"/>
          <w:color w:val="auto"/>
          <w:szCs w:val="21"/>
          <w:highlight w:val="none"/>
        </w:rPr>
        <w:t>工业废水</w:t>
      </w:r>
      <w:r>
        <w:rPr>
          <w:b w:val="0"/>
          <w:bCs w:val="0"/>
          <w:color w:val="auto"/>
          <w:szCs w:val="21"/>
          <w:highlight w:val="none"/>
          <w:lang w:val="zh-TW"/>
        </w:rPr>
        <w:t>量占污水排放总量的比重</w:t>
      </w:r>
      <w:r>
        <w:rPr>
          <w:rFonts w:hint="eastAsia"/>
          <w:b w:val="0"/>
          <w:bCs w:val="0"/>
          <w:color w:val="auto"/>
          <w:szCs w:val="21"/>
          <w:highlight w:val="none"/>
          <w:lang w:val="zh-TW"/>
        </w:rPr>
        <w:t>，</w:t>
      </w:r>
      <w:r>
        <w:rPr>
          <w:b w:val="0"/>
          <w:bCs w:val="0"/>
          <w:color w:val="auto"/>
          <w:szCs w:val="21"/>
          <w:highlight w:val="none"/>
          <w:lang w:val="zh-TW"/>
        </w:rPr>
        <w:t>计算公式为</w:t>
      </w:r>
      <w:r>
        <w:rPr>
          <w:rFonts w:hint="eastAsia"/>
          <w:b w:val="0"/>
          <w:bCs w:val="0"/>
          <w:color w:val="auto"/>
          <w:szCs w:val="21"/>
          <w:highlight w:val="none"/>
          <w:lang w:val="zh-TW"/>
        </w:rPr>
        <w:t>：</w:t>
      </w:r>
      <w:r>
        <w:rPr>
          <w:rFonts w:ascii="宋体" w:hAnsi="宋体"/>
          <w:b w:val="0"/>
          <w:bCs w:val="0"/>
          <w:color w:val="auto"/>
          <w:highlight w:val="none"/>
        </w:rPr>
        <w:t>工业污水处理率</w:t>
      </w:r>
      <w:r>
        <w:rPr>
          <w:rFonts w:hint="eastAsia" w:ascii="宋体" w:hAnsi="宋体"/>
          <w:b w:val="0"/>
          <w:bCs w:val="0"/>
          <w:color w:val="auto"/>
          <w:highlight w:val="none"/>
        </w:rPr>
        <w:t>=FF</w:t>
      </w:r>
      <w:r>
        <w:rPr>
          <w:b w:val="0"/>
          <w:bCs w:val="0"/>
          <w:color w:val="auto"/>
          <w:szCs w:val="21"/>
          <w:highlight w:val="none"/>
          <w:lang w:val="zh-TW"/>
        </w:rPr>
        <w:t>污水处理量/污水排放总量×100%。</w:t>
      </w:r>
    </w:p>
    <w:p>
      <w:pPr>
        <w:spacing w:line="400" w:lineRule="exact"/>
        <w:ind w:firstLine="420" w:firstLineChars="200"/>
        <w:contextualSpacing/>
        <w:rPr>
          <w:rFonts w:ascii="宋体" w:hAnsi="宋体"/>
          <w:b w:val="0"/>
          <w:bCs w:val="0"/>
          <w:color w:val="auto"/>
          <w:szCs w:val="21"/>
          <w:highlight w:val="none"/>
        </w:rPr>
      </w:pPr>
      <w:r>
        <w:rPr>
          <w:rFonts w:eastAsia="黑体"/>
          <w:b w:val="0"/>
          <w:bCs w:val="0"/>
          <w:color w:val="auto"/>
          <w:highlight w:val="none"/>
        </w:rPr>
        <w:t>万元工业增加值用水量</w:t>
      </w:r>
      <w:r>
        <w:rPr>
          <w:rFonts w:hint="eastAsia" w:eastAsia="黑体"/>
          <w:b w:val="0"/>
          <w:bCs w:val="0"/>
          <w:color w:val="auto"/>
          <w:highlight w:val="none"/>
        </w:rPr>
        <w:t xml:space="preserve">  </w:t>
      </w:r>
      <w:r>
        <w:rPr>
          <w:rFonts w:hint="eastAsia" w:ascii="宋体" w:hAnsi="宋体"/>
          <w:b w:val="0"/>
          <w:bCs w:val="0"/>
          <w:color w:val="auto"/>
          <w:szCs w:val="21"/>
          <w:highlight w:val="none"/>
        </w:rPr>
        <w:t>指</w:t>
      </w:r>
      <w:r>
        <w:rPr>
          <w:rFonts w:ascii="宋体" w:hAnsi="宋体"/>
          <w:b w:val="0"/>
          <w:bCs w:val="0"/>
          <w:color w:val="auto"/>
          <w:szCs w:val="21"/>
          <w:highlight w:val="none"/>
        </w:rPr>
        <w:t>示范基地企业每生产一个单位的工业增加值所耗水量。计算公式为：年耗水量/工业增加值。</w:t>
      </w:r>
    </w:p>
    <w:p>
      <w:pPr>
        <w:spacing w:line="400" w:lineRule="exact"/>
        <w:ind w:firstLine="420" w:firstLineChars="200"/>
        <w:rPr>
          <w:szCs w:val="21"/>
          <w:highlight w:val="none"/>
        </w:rPr>
      </w:pPr>
      <w:r>
        <w:rPr>
          <w:rFonts w:eastAsia="黑体"/>
          <w:highlight w:val="none"/>
        </w:rPr>
        <w:t>申请国内专利</w:t>
      </w:r>
      <w:r>
        <w:rPr>
          <w:rFonts w:hint="eastAsia" w:eastAsia="黑体"/>
          <w:highlight w:val="none"/>
        </w:rPr>
        <w:t xml:space="preserve">  </w:t>
      </w:r>
      <w:r>
        <w:rPr>
          <w:szCs w:val="21"/>
          <w:highlight w:val="none"/>
        </w:rPr>
        <w:t>指在报告期内企业作为第一申请人向国内知识产权行政部门提出专利申请并被受理后</w:t>
      </w:r>
      <w:r>
        <w:rPr>
          <w:rFonts w:hint="eastAsia"/>
          <w:szCs w:val="21"/>
          <w:highlight w:val="none"/>
        </w:rPr>
        <w:t>，</w:t>
      </w:r>
      <w:r>
        <w:rPr>
          <w:rFonts w:hint="eastAsia" w:ascii="宋体" w:hAnsi="宋体"/>
          <w:bCs/>
          <w:szCs w:val="21"/>
          <w:highlight w:val="none"/>
        </w:rPr>
        <w:t>按规定缴足申请费，符合进入初步审查阶段条件</w:t>
      </w:r>
      <w:r>
        <w:rPr>
          <w:szCs w:val="21"/>
          <w:highlight w:val="none"/>
        </w:rPr>
        <w:t>的件数。</w:t>
      </w:r>
    </w:p>
    <w:p>
      <w:pPr>
        <w:spacing w:line="400" w:lineRule="exact"/>
        <w:ind w:firstLine="420" w:firstLineChars="200"/>
        <w:rPr>
          <w:szCs w:val="21"/>
          <w:highlight w:val="none"/>
        </w:rPr>
      </w:pPr>
      <w:r>
        <w:rPr>
          <w:rFonts w:eastAsia="黑体"/>
          <w:highlight w:val="none"/>
        </w:rPr>
        <w:t>申请</w:t>
      </w:r>
      <w:r>
        <w:rPr>
          <w:rFonts w:hint="eastAsia" w:eastAsia="黑体"/>
          <w:highlight w:val="none"/>
        </w:rPr>
        <w:t>境</w:t>
      </w:r>
      <w:r>
        <w:rPr>
          <w:rFonts w:eastAsia="黑体"/>
          <w:highlight w:val="none"/>
        </w:rPr>
        <w:t>外专利</w:t>
      </w:r>
      <w:r>
        <w:rPr>
          <w:rFonts w:hint="eastAsia" w:eastAsia="黑体"/>
          <w:highlight w:val="none"/>
        </w:rPr>
        <w:t xml:space="preserve">  </w:t>
      </w:r>
      <w:r>
        <w:rPr>
          <w:szCs w:val="21"/>
          <w:highlight w:val="none"/>
        </w:rPr>
        <w:t>指在报告期内企业作为第一申请人向国外知识产权行政部门提出专利申请并被受理后</w:t>
      </w:r>
      <w:r>
        <w:rPr>
          <w:rFonts w:hint="eastAsia"/>
          <w:szCs w:val="21"/>
          <w:highlight w:val="none"/>
        </w:rPr>
        <w:t>，</w:t>
      </w:r>
      <w:r>
        <w:rPr>
          <w:rFonts w:hint="eastAsia" w:ascii="宋体" w:hAnsi="宋体"/>
          <w:bCs/>
          <w:szCs w:val="21"/>
          <w:highlight w:val="none"/>
        </w:rPr>
        <w:t>按规定缴足申请费，符合进入初步审查阶段条件</w:t>
      </w:r>
      <w:r>
        <w:rPr>
          <w:szCs w:val="21"/>
          <w:highlight w:val="none"/>
        </w:rPr>
        <w:t>的件数。</w:t>
      </w:r>
    </w:p>
    <w:p>
      <w:pPr>
        <w:spacing w:line="400" w:lineRule="exact"/>
        <w:ind w:firstLine="420" w:firstLineChars="200"/>
        <w:rPr>
          <w:rFonts w:eastAsia="黑体"/>
          <w:highlight w:val="none"/>
        </w:rPr>
      </w:pPr>
      <w:r>
        <w:rPr>
          <w:rFonts w:eastAsia="黑体"/>
          <w:highlight w:val="none"/>
        </w:rPr>
        <w:t>授权专利</w:t>
      </w:r>
      <w:r>
        <w:rPr>
          <w:rFonts w:hint="eastAsia" w:eastAsia="黑体"/>
          <w:highlight w:val="none"/>
        </w:rPr>
        <w:t xml:space="preserve">  </w:t>
      </w:r>
      <w:r>
        <w:rPr>
          <w:szCs w:val="21"/>
          <w:highlight w:val="none"/>
        </w:rPr>
        <w:t>指报告期内企业作为第一专利权人获得的经国内外专利知识产区行政部门授权的专利件数。</w:t>
      </w:r>
    </w:p>
    <w:p>
      <w:pPr>
        <w:spacing w:line="400" w:lineRule="exact"/>
        <w:ind w:firstLine="420" w:firstLineChars="200"/>
        <w:rPr>
          <w:rFonts w:hint="eastAsia"/>
          <w:szCs w:val="21"/>
          <w:highlight w:val="none"/>
        </w:rPr>
      </w:pPr>
      <w:r>
        <w:rPr>
          <w:rFonts w:hint="eastAsia" w:eastAsia="黑体"/>
          <w:highlight w:val="none"/>
        </w:rPr>
        <w:t xml:space="preserve">拥有有效发明专利  </w:t>
      </w:r>
      <w:r>
        <w:rPr>
          <w:rFonts w:hint="eastAsia"/>
          <w:szCs w:val="21"/>
          <w:highlight w:val="none"/>
        </w:rPr>
        <w:t>指报告期末企业作为第一专利权人拥有的、经国内外知识产权行政部门授权且在有效期内的发明专利件数。</w:t>
      </w:r>
    </w:p>
    <w:p>
      <w:pPr>
        <w:spacing w:line="400" w:lineRule="exact"/>
        <w:ind w:firstLine="420" w:firstLineChars="200"/>
        <w:rPr>
          <w:rFonts w:hint="eastAsia"/>
          <w:b w:val="0"/>
          <w:bCs w:val="0"/>
          <w:color w:val="auto"/>
          <w:szCs w:val="21"/>
          <w:highlight w:val="none"/>
        </w:rPr>
      </w:pPr>
      <w:r>
        <w:rPr>
          <w:rFonts w:hint="eastAsia" w:eastAsia="黑体"/>
          <w:highlight w:val="none"/>
        </w:rPr>
        <w:t xml:space="preserve">拥有境外授权专利  </w:t>
      </w:r>
      <w:r>
        <w:rPr>
          <w:rFonts w:hint="eastAsia"/>
          <w:szCs w:val="21"/>
          <w:highlight w:val="none"/>
        </w:rPr>
        <w:t>指报告期末企业作为第一专利权人拥有的、经国外及港澳台知识产权行政部门</w:t>
      </w:r>
      <w:r>
        <w:rPr>
          <w:rFonts w:hint="eastAsia"/>
          <w:b w:val="0"/>
          <w:bCs w:val="0"/>
          <w:color w:val="auto"/>
          <w:szCs w:val="21"/>
          <w:highlight w:val="none"/>
        </w:rPr>
        <w:t>授予且在有效期内的专利件数。</w:t>
      </w:r>
    </w:p>
    <w:p>
      <w:pPr>
        <w:spacing w:line="400" w:lineRule="exact"/>
        <w:ind w:firstLine="420" w:firstLineChars="200"/>
        <w:rPr>
          <w:b w:val="0"/>
          <w:bCs w:val="0"/>
          <w:color w:val="auto"/>
          <w:szCs w:val="21"/>
          <w:highlight w:val="none"/>
        </w:rPr>
      </w:pPr>
      <w:r>
        <w:rPr>
          <w:rFonts w:eastAsia="黑体"/>
          <w:b w:val="0"/>
          <w:bCs w:val="0"/>
          <w:color w:val="auto"/>
          <w:highlight w:val="none"/>
        </w:rPr>
        <w:t>拥有注册商标</w:t>
      </w:r>
      <w:r>
        <w:rPr>
          <w:rFonts w:hint="eastAsia" w:eastAsia="黑体"/>
          <w:b w:val="0"/>
          <w:bCs w:val="0"/>
          <w:color w:val="auto"/>
          <w:highlight w:val="none"/>
        </w:rPr>
        <w:t xml:space="preserve">  </w:t>
      </w:r>
      <w:r>
        <w:rPr>
          <w:b w:val="0"/>
          <w:bCs w:val="0"/>
          <w:color w:val="auto"/>
          <w:szCs w:val="21"/>
          <w:highlight w:val="none"/>
        </w:rPr>
        <w:t>指报告期末企业作为第一商标注册人拥有的，经境内外商标行政部门核准注册且在有效期内的商标件数。包括在境内和境外注册的商标件数，同一件商标在境内外同时注册时按一件计。</w:t>
      </w:r>
    </w:p>
    <w:p>
      <w:pPr>
        <w:spacing w:line="400" w:lineRule="exact"/>
        <w:ind w:firstLine="420" w:firstLineChars="200"/>
        <w:rPr>
          <w:b w:val="0"/>
          <w:bCs w:val="0"/>
          <w:color w:val="auto"/>
          <w:szCs w:val="21"/>
          <w:highlight w:val="none"/>
        </w:rPr>
      </w:pPr>
      <w:r>
        <w:rPr>
          <w:rFonts w:eastAsia="黑体"/>
          <w:b w:val="0"/>
          <w:bCs w:val="0"/>
          <w:color w:val="auto"/>
          <w:highlight w:val="none"/>
        </w:rPr>
        <w:t>当年注册商标</w:t>
      </w:r>
      <w:r>
        <w:rPr>
          <w:rFonts w:hint="eastAsia" w:eastAsia="黑体"/>
          <w:b w:val="0"/>
          <w:bCs w:val="0"/>
          <w:color w:val="auto"/>
          <w:highlight w:val="none"/>
        </w:rPr>
        <w:t xml:space="preserve">  </w:t>
      </w:r>
      <w:r>
        <w:rPr>
          <w:b w:val="0"/>
          <w:bCs w:val="0"/>
          <w:color w:val="auto"/>
          <w:szCs w:val="21"/>
          <w:highlight w:val="none"/>
        </w:rPr>
        <w:t>指在报告期当年企业作为第一商标注册人获得境内外商标行政部门核准注册的商标件数。同一商标在不同地区同时注册按一件计。</w:t>
      </w:r>
    </w:p>
    <w:p>
      <w:pPr>
        <w:spacing w:line="400" w:lineRule="exact"/>
        <w:ind w:firstLine="420" w:firstLineChars="200"/>
        <w:rPr>
          <w:b w:val="0"/>
          <w:bCs w:val="0"/>
          <w:color w:val="auto"/>
          <w:szCs w:val="21"/>
          <w:highlight w:val="none"/>
        </w:rPr>
      </w:pPr>
      <w:r>
        <w:rPr>
          <w:rFonts w:eastAsia="黑体"/>
          <w:b w:val="0"/>
          <w:bCs w:val="0"/>
          <w:color w:val="auto"/>
          <w:highlight w:val="none"/>
        </w:rPr>
        <w:t>境外注册商标</w:t>
      </w:r>
      <w:r>
        <w:rPr>
          <w:rFonts w:hint="eastAsia" w:eastAsia="黑体"/>
          <w:b w:val="0"/>
          <w:bCs w:val="0"/>
          <w:color w:val="auto"/>
          <w:highlight w:val="none"/>
        </w:rPr>
        <w:t xml:space="preserve">  </w:t>
      </w:r>
      <w:r>
        <w:rPr>
          <w:b w:val="0"/>
          <w:bCs w:val="0"/>
          <w:color w:val="auto"/>
          <w:szCs w:val="21"/>
          <w:highlight w:val="none"/>
        </w:rPr>
        <w:t>指报告期末企业作为第一商标注册人拥有的，经国外或港澳台商标行政部门核准注册且在有效期内的商标件数。</w:t>
      </w:r>
    </w:p>
    <w:p>
      <w:pPr>
        <w:spacing w:line="400" w:lineRule="exact"/>
        <w:ind w:firstLine="420" w:firstLineChars="200"/>
        <w:rPr>
          <w:b w:val="0"/>
          <w:bCs w:val="0"/>
          <w:color w:val="auto"/>
          <w:szCs w:val="21"/>
          <w:highlight w:val="none"/>
        </w:rPr>
      </w:pPr>
      <w:r>
        <w:rPr>
          <w:rFonts w:eastAsia="黑体"/>
          <w:b w:val="0"/>
          <w:bCs w:val="0"/>
          <w:color w:val="auto"/>
          <w:szCs w:val="21"/>
          <w:highlight w:val="none"/>
        </w:rPr>
        <w:t>制定国家标准数量</w:t>
      </w:r>
      <w:r>
        <w:rPr>
          <w:rFonts w:hint="eastAsia" w:eastAsia="黑体"/>
          <w:b w:val="0"/>
          <w:bCs w:val="0"/>
          <w:color w:val="auto"/>
          <w:szCs w:val="21"/>
          <w:highlight w:val="none"/>
        </w:rPr>
        <w:t xml:space="preserve">  </w:t>
      </w:r>
      <w:r>
        <w:rPr>
          <w:b w:val="0"/>
          <w:bCs w:val="0"/>
          <w:color w:val="auto"/>
          <w:szCs w:val="21"/>
          <w:highlight w:val="none"/>
        </w:rPr>
        <w:t>指企业在报告期内在自主研发或自主知识产权基础上形成的经有关部门批准的国家标准项数。国家标准是指由国家标准化主管机构批准发布，对全国经济、技术发展有重大意义，且在全国范围内统一的标准。</w:t>
      </w:r>
    </w:p>
    <w:p>
      <w:pPr>
        <w:spacing w:line="400" w:lineRule="exact"/>
        <w:ind w:firstLine="420" w:firstLineChars="200"/>
        <w:rPr>
          <w:szCs w:val="21"/>
          <w:highlight w:val="none"/>
        </w:rPr>
      </w:pPr>
      <w:r>
        <w:rPr>
          <w:rFonts w:eastAsia="黑体"/>
          <w:b w:val="0"/>
          <w:bCs w:val="0"/>
          <w:color w:val="auto"/>
          <w:szCs w:val="21"/>
          <w:highlight w:val="none"/>
        </w:rPr>
        <w:t>制定行业标准数量</w:t>
      </w:r>
      <w:r>
        <w:rPr>
          <w:rFonts w:hint="eastAsia" w:eastAsia="黑体"/>
          <w:b w:val="0"/>
          <w:bCs w:val="0"/>
          <w:color w:val="auto"/>
          <w:szCs w:val="21"/>
          <w:highlight w:val="none"/>
        </w:rPr>
        <w:t xml:space="preserve">  </w:t>
      </w:r>
      <w:r>
        <w:rPr>
          <w:b w:val="0"/>
          <w:bCs w:val="0"/>
          <w:color w:val="auto"/>
          <w:szCs w:val="21"/>
          <w:highlight w:val="none"/>
        </w:rPr>
        <w:t>指企业在报告期内在自主研发或自主知识产权基础上形成的经有关部门批准的行业标准项数。行业标准由行业标准归口部门</w:t>
      </w:r>
      <w:r>
        <w:rPr>
          <w:szCs w:val="21"/>
          <w:highlight w:val="none"/>
        </w:rPr>
        <w:t>编制计划、审批、编号、发布、管理。</w:t>
      </w:r>
      <w:r>
        <w:rPr>
          <w:highlight w:val="none"/>
        </w:rPr>
        <w:fldChar w:fldCharType="begin"/>
      </w:r>
      <w:r>
        <w:rPr>
          <w:highlight w:val="none"/>
        </w:rPr>
        <w:instrText xml:space="preserve"> HYPERLINK "http://www.farrali.net/post/2004-motor-standard.html"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的归口部门及其所管理的行业标准范围，由国务院行政主管部门审定。对没有国家标准又需要在全国某个行业范围内统一的技术要求，可以制定</w:t>
      </w:r>
      <w:r>
        <w:rPr>
          <w:highlight w:val="none"/>
        </w:rPr>
        <w:fldChar w:fldCharType="begin"/>
      </w:r>
      <w:r>
        <w:rPr>
          <w:highlight w:val="none"/>
        </w:rPr>
        <w:instrText xml:space="preserve"> HYPERLINK "http://www.farrali.net/post/motor-jb-standard.html"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，是专业性、技术性较强的标准。作为对国家标准的补充，当相应的国家标准实施后，该行业标准应自行废止。</w:t>
      </w:r>
    </w:p>
    <w:p>
      <w:pPr>
        <w:spacing w:line="400" w:lineRule="exact"/>
        <w:ind w:firstLine="420" w:firstLineChars="200"/>
        <w:rPr>
          <w:szCs w:val="21"/>
          <w:highlight w:val="none"/>
        </w:rPr>
      </w:pPr>
      <w:r>
        <w:rPr>
          <w:rFonts w:eastAsia="黑体"/>
          <w:bCs/>
          <w:szCs w:val="21"/>
          <w:highlight w:val="none"/>
        </w:rPr>
        <w:t>参与制定国际标准的企业数量</w:t>
      </w:r>
      <w:r>
        <w:rPr>
          <w:rFonts w:hint="eastAsia" w:eastAsia="黑体"/>
          <w:bCs/>
          <w:szCs w:val="21"/>
          <w:highlight w:val="none"/>
        </w:rPr>
        <w:t xml:space="preserve">  </w:t>
      </w:r>
      <w:r>
        <w:rPr>
          <w:szCs w:val="21"/>
          <w:highlight w:val="none"/>
        </w:rPr>
        <w:t>指报告期内参与制定形成国际标准的基地企业数量。国际标准是指</w:t>
      </w:r>
      <w:r>
        <w:rPr>
          <w:highlight w:val="none"/>
        </w:rPr>
        <w:fldChar w:fldCharType="begin"/>
      </w:r>
      <w:r>
        <w:rPr>
          <w:highlight w:val="none"/>
        </w:rPr>
        <w:instrText xml:space="preserve"> HYPERLINK "http://baike.baidu.com/view/42488.htm" \t "_blank" </w:instrText>
      </w:r>
      <w:r>
        <w:rPr>
          <w:highlight w:val="none"/>
        </w:rPr>
        <w:fldChar w:fldCharType="separate"/>
      </w:r>
      <w:r>
        <w:rPr>
          <w:szCs w:val="21"/>
          <w:highlight w:val="none"/>
        </w:rPr>
        <w:t>国际标准化组织</w:t>
      </w:r>
      <w:r>
        <w:rPr>
          <w:szCs w:val="21"/>
          <w:highlight w:val="none"/>
        </w:rPr>
        <w:fldChar w:fldCharType="end"/>
      </w:r>
      <w:r>
        <w:rPr>
          <w:szCs w:val="21"/>
          <w:highlight w:val="none"/>
        </w:rPr>
        <w:t>（ISO）、</w:t>
      </w:r>
      <w:r>
        <w:rPr>
          <w:highlight w:val="none"/>
        </w:rPr>
        <w:fldChar w:fldCharType="begin"/>
      </w:r>
      <w:r>
        <w:rPr>
          <w:highlight w:val="none"/>
        </w:rPr>
        <w:instrText xml:space="preserve">HYPERLINK "http://baike.baidu.com/view/159311.htm" \t "_blank"</w:instrText>
      </w:r>
      <w:r>
        <w:rPr>
          <w:highlight w:val="none"/>
        </w:rPr>
        <w:fldChar w:fldCharType="separate"/>
      </w:r>
      <w:r>
        <w:rPr>
          <w:szCs w:val="21"/>
          <w:highlight w:val="none"/>
        </w:rPr>
        <w:t>国际电工委员会</w:t>
      </w:r>
      <w:r>
        <w:rPr>
          <w:szCs w:val="21"/>
          <w:highlight w:val="none"/>
        </w:rPr>
        <w:fldChar w:fldCharType="end"/>
      </w:r>
      <w:r>
        <w:rPr>
          <w:szCs w:val="21"/>
          <w:highlight w:val="none"/>
        </w:rPr>
        <w:t>（IEC）和国际电信联盟（ITU）制定的标准，以及国际标准化组织确认并公布的其他国际组织制定的标准</w:t>
      </w:r>
      <w:r>
        <w:rPr>
          <w:rFonts w:hint="eastAsia"/>
          <w:szCs w:val="21"/>
          <w:highlight w:val="none"/>
        </w:rPr>
        <w:t>，</w:t>
      </w:r>
      <w:r>
        <w:rPr>
          <w:szCs w:val="21"/>
          <w:highlight w:val="none"/>
        </w:rPr>
        <w:t>在世界范围内统一使用。</w:t>
      </w:r>
    </w:p>
    <w:p>
      <w:pPr>
        <w:spacing w:line="400" w:lineRule="exact"/>
        <w:ind w:firstLine="420" w:firstLineChars="200"/>
        <w:rPr>
          <w:szCs w:val="21"/>
          <w:highlight w:val="none"/>
        </w:rPr>
      </w:pPr>
      <w:r>
        <w:rPr>
          <w:rFonts w:eastAsia="黑体"/>
          <w:highlight w:val="none"/>
        </w:rPr>
        <w:t>基地建设主体</w:t>
      </w:r>
      <w:r>
        <w:rPr>
          <w:rFonts w:hint="eastAsia" w:eastAsia="黑体"/>
          <w:highlight w:val="none"/>
        </w:rPr>
        <w:t xml:space="preserve">  </w:t>
      </w:r>
      <w:r>
        <w:rPr>
          <w:szCs w:val="21"/>
          <w:highlight w:val="none"/>
        </w:rPr>
        <w:t>根据主要承担建设责任的主体填报，请从以下选项中选择：</w:t>
      </w:r>
    </w:p>
    <w:p>
      <w:pPr>
        <w:spacing w:line="400" w:lineRule="exact"/>
        <w:ind w:firstLine="420" w:firstLineChars="200"/>
        <w:rPr>
          <w:szCs w:val="21"/>
          <w:highlight w:val="none"/>
        </w:rPr>
      </w:pPr>
      <w:r>
        <w:rPr>
          <w:szCs w:val="21"/>
          <w:highlight w:val="none"/>
        </w:rPr>
        <w:t>1.地市级政府</w:t>
      </w:r>
      <w:r>
        <w:rPr>
          <w:rFonts w:hint="eastAsia"/>
          <w:szCs w:val="21"/>
          <w:highlight w:val="none"/>
        </w:rPr>
        <w:t>；</w:t>
      </w:r>
      <w:r>
        <w:rPr>
          <w:szCs w:val="21"/>
          <w:highlight w:val="none"/>
        </w:rPr>
        <w:t xml:space="preserve">    2.区县级政府</w:t>
      </w:r>
      <w:r>
        <w:rPr>
          <w:rFonts w:hint="eastAsia"/>
          <w:szCs w:val="21"/>
          <w:highlight w:val="none"/>
        </w:rPr>
        <w:t>；</w:t>
      </w:r>
      <w:r>
        <w:rPr>
          <w:szCs w:val="21"/>
          <w:highlight w:val="none"/>
        </w:rPr>
        <w:t xml:space="preserve">     </w:t>
      </w:r>
      <w:r>
        <w:rPr>
          <w:rFonts w:hint="eastAsia"/>
          <w:szCs w:val="21"/>
          <w:highlight w:val="none"/>
        </w:rPr>
        <w:t xml:space="preserve"> </w:t>
      </w:r>
      <w:r>
        <w:rPr>
          <w:szCs w:val="21"/>
          <w:highlight w:val="none"/>
        </w:rPr>
        <w:t>3.国家高新区（国家级经开区）管委会</w:t>
      </w:r>
      <w:r>
        <w:rPr>
          <w:rFonts w:hint="eastAsia"/>
          <w:szCs w:val="21"/>
          <w:highlight w:val="none"/>
        </w:rPr>
        <w:t>；</w:t>
      </w:r>
    </w:p>
    <w:p>
      <w:pPr>
        <w:spacing w:line="400" w:lineRule="exact"/>
        <w:ind w:firstLine="420" w:firstLineChars="200"/>
        <w:rPr>
          <w:szCs w:val="21"/>
          <w:highlight w:val="none"/>
        </w:rPr>
      </w:pPr>
      <w:r>
        <w:rPr>
          <w:szCs w:val="21"/>
          <w:highlight w:val="none"/>
        </w:rPr>
        <w:t>4.省级高新区（经开区）管委会</w:t>
      </w:r>
      <w:r>
        <w:rPr>
          <w:rFonts w:hint="eastAsia"/>
          <w:szCs w:val="21"/>
          <w:highlight w:val="none"/>
        </w:rPr>
        <w:t xml:space="preserve">；       </w:t>
      </w:r>
      <w:r>
        <w:rPr>
          <w:szCs w:val="21"/>
          <w:highlight w:val="none"/>
        </w:rPr>
        <w:t>5.其他</w:t>
      </w:r>
      <w:r>
        <w:rPr>
          <w:rFonts w:hint="eastAsia"/>
          <w:szCs w:val="21"/>
          <w:highlight w:val="none"/>
        </w:rPr>
        <w:t>。</w:t>
      </w:r>
    </w:p>
    <w:p>
      <w:pPr>
        <w:spacing w:line="400" w:lineRule="exact"/>
        <w:ind w:firstLine="420"/>
        <w:rPr>
          <w:szCs w:val="21"/>
          <w:highlight w:val="none"/>
        </w:rPr>
      </w:pPr>
      <w:r>
        <w:rPr>
          <w:rFonts w:eastAsia="黑体"/>
          <w:highlight w:val="none"/>
        </w:rPr>
        <w:t>基地主导产业细分领域</w:t>
      </w:r>
      <w:r>
        <w:rPr>
          <w:rFonts w:hint="eastAsia" w:eastAsia="黑体"/>
          <w:highlight w:val="none"/>
        </w:rPr>
        <w:t xml:space="preserve">  </w:t>
      </w:r>
      <w:r>
        <w:rPr>
          <w:szCs w:val="21"/>
          <w:highlight w:val="none"/>
        </w:rPr>
        <w:t>按照《高新技术企业认定管理办法》（国科发火〔2016〕32号）中规定的8个重点领域，在选定基地主导产业所属技术领域的大类后，再从分类表中按照产业规模依次选取中类领域填报（4位代码），最多可选三项，不能跨大类填报中类。</w:t>
      </w:r>
    </w:p>
    <w:p>
      <w:pPr>
        <w:spacing w:line="400" w:lineRule="exact"/>
        <w:ind w:firstLine="420" w:firstLineChars="200"/>
        <w:rPr>
          <w:rFonts w:hint="eastAsia" w:ascii="宋体" w:hAnsi="宋体"/>
          <w:b w:val="0"/>
          <w:bCs w:val="0"/>
          <w:color w:val="auto"/>
          <w:highlight w:val="none"/>
        </w:rPr>
      </w:pPr>
      <w:r>
        <w:rPr>
          <w:rFonts w:hint="eastAsia" w:eastAsia="黑体"/>
          <w:b w:val="0"/>
          <w:bCs w:val="0"/>
          <w:color w:val="auto"/>
          <w:highlight w:val="none"/>
        </w:rPr>
        <w:t>基地</w:t>
      </w:r>
      <w:r>
        <w:rPr>
          <w:rFonts w:eastAsia="黑体"/>
          <w:b w:val="0"/>
          <w:bCs w:val="0"/>
          <w:color w:val="auto"/>
          <w:highlight w:val="none"/>
        </w:rPr>
        <w:t>所属</w:t>
      </w:r>
      <w:r>
        <w:rPr>
          <w:rFonts w:hint="eastAsia" w:eastAsia="黑体"/>
          <w:b w:val="0"/>
          <w:bCs w:val="0"/>
          <w:color w:val="auto"/>
          <w:highlight w:val="none"/>
        </w:rPr>
        <w:t xml:space="preserve">战略性新兴产业领域  </w:t>
      </w:r>
      <w:r>
        <w:rPr>
          <w:rFonts w:hint="eastAsia" w:ascii="宋体" w:hAnsi="宋体"/>
          <w:b w:val="0"/>
          <w:bCs w:val="0"/>
          <w:color w:val="auto"/>
          <w:highlight w:val="none"/>
        </w:rPr>
        <w:t>按国家统计局2</w:t>
      </w:r>
      <w:r>
        <w:rPr>
          <w:rFonts w:ascii="宋体" w:hAnsi="宋体"/>
          <w:b w:val="0"/>
          <w:bCs w:val="0"/>
          <w:color w:val="auto"/>
          <w:highlight w:val="none"/>
        </w:rPr>
        <w:t>018</w:t>
      </w:r>
      <w:r>
        <w:rPr>
          <w:rFonts w:hint="eastAsia" w:ascii="宋体" w:hAnsi="宋体"/>
          <w:b w:val="0"/>
          <w:bCs w:val="0"/>
          <w:color w:val="auto"/>
          <w:highlight w:val="none"/>
        </w:rPr>
        <w:t>年公布的《战略性新兴产业分类（</w:t>
      </w:r>
      <w:r>
        <w:rPr>
          <w:rFonts w:ascii="宋体" w:hAnsi="宋体"/>
          <w:b w:val="0"/>
          <w:bCs w:val="0"/>
          <w:color w:val="auto"/>
          <w:highlight w:val="none"/>
        </w:rPr>
        <w:t>2018</w:t>
      </w:r>
      <w:r>
        <w:rPr>
          <w:rFonts w:hint="eastAsia" w:ascii="宋体" w:hAnsi="宋体"/>
          <w:b w:val="0"/>
          <w:bCs w:val="0"/>
          <w:color w:val="auto"/>
          <w:highlight w:val="none"/>
        </w:rPr>
        <w:t>）》填写，具体见附录1。</w:t>
      </w:r>
    </w:p>
    <w:p>
      <w:pPr>
        <w:spacing w:line="400" w:lineRule="exact"/>
        <w:ind w:firstLine="420" w:firstLineChars="200"/>
        <w:rPr>
          <w:rFonts w:hint="eastAsia" w:ascii="宋体" w:hAnsi="宋体"/>
          <w:b w:val="0"/>
          <w:bCs w:val="0"/>
          <w:color w:val="auto"/>
          <w:highlight w:val="none"/>
        </w:rPr>
      </w:pPr>
      <w:r>
        <w:rPr>
          <w:rFonts w:hint="eastAsia" w:eastAsia="黑体"/>
          <w:b w:val="0"/>
          <w:bCs w:val="0"/>
          <w:color w:val="auto"/>
          <w:highlight w:val="none"/>
        </w:rPr>
        <w:t>基地</w:t>
      </w:r>
      <w:r>
        <w:rPr>
          <w:rFonts w:eastAsia="黑体"/>
          <w:b w:val="0"/>
          <w:bCs w:val="0"/>
          <w:color w:val="auto"/>
          <w:highlight w:val="none"/>
        </w:rPr>
        <w:t>所属</w:t>
      </w:r>
      <w:r>
        <w:rPr>
          <w:rFonts w:hint="eastAsia" w:eastAsia="黑体"/>
          <w:b w:val="0"/>
          <w:bCs w:val="0"/>
          <w:color w:val="auto"/>
          <w:highlight w:val="none"/>
        </w:rPr>
        <w:t xml:space="preserve">工业战略性新兴产业领域  </w:t>
      </w:r>
      <w:r>
        <w:rPr>
          <w:rFonts w:hint="eastAsia" w:ascii="宋体" w:hAnsi="宋体"/>
          <w:b w:val="0"/>
          <w:bCs w:val="0"/>
          <w:color w:val="auto"/>
          <w:highlight w:val="none"/>
        </w:rPr>
        <w:t>按国务院第五次全国经济普查领导小组办公室2023年公布的《工业战略性新兴产业分类目录（2023）》填写，具体见附录2。</w:t>
      </w:r>
    </w:p>
    <w:p>
      <w:pPr>
        <w:spacing w:line="400" w:lineRule="exact"/>
        <w:ind w:firstLine="420" w:firstLineChars="200"/>
        <w:rPr>
          <w:b w:val="0"/>
          <w:bCs w:val="0"/>
          <w:color w:val="auto"/>
          <w:highlight w:val="none"/>
        </w:rPr>
      </w:pPr>
      <w:r>
        <w:rPr>
          <w:rFonts w:eastAsia="黑体"/>
          <w:b w:val="0"/>
          <w:bCs w:val="0"/>
          <w:color w:val="auto"/>
          <w:highlight w:val="none"/>
        </w:rPr>
        <w:t>基地是否属于县域</w:t>
      </w:r>
      <w:r>
        <w:rPr>
          <w:rFonts w:hint="eastAsia" w:eastAsia="黑体"/>
          <w:b w:val="0"/>
          <w:bCs w:val="0"/>
          <w:color w:val="auto"/>
          <w:highlight w:val="none"/>
        </w:rPr>
        <w:t xml:space="preserve">  </w:t>
      </w:r>
      <w:r>
        <w:rPr>
          <w:b w:val="0"/>
          <w:bCs w:val="0"/>
          <w:color w:val="auto"/>
          <w:highlight w:val="none"/>
        </w:rPr>
        <w:t>根据基地建设主体或者基地所处地域选择，如为县、县级市或者旗的选择是，否则选否。</w:t>
      </w:r>
      <w:bookmarkStart w:id="11" w:name="_Toc395286784"/>
      <w:bookmarkEnd w:id="11"/>
      <w:bookmarkStart w:id="12" w:name="_Toc530930872"/>
      <w:bookmarkEnd w:id="12"/>
    </w:p>
    <w:p>
      <w:pPr>
        <w:spacing w:line="400" w:lineRule="exact"/>
        <w:ind w:firstLine="420" w:firstLineChars="200"/>
        <w:rPr>
          <w:b w:val="0"/>
          <w:bCs w:val="0"/>
          <w:color w:val="auto"/>
          <w:szCs w:val="21"/>
          <w:highlight w:val="none"/>
        </w:rPr>
      </w:pPr>
      <w:r>
        <w:rPr>
          <w:rFonts w:hint="eastAsia" w:eastAsia="黑体"/>
          <w:b w:val="0"/>
          <w:bCs w:val="0"/>
          <w:color w:val="auto"/>
          <w:highlight w:val="none"/>
        </w:rPr>
        <w:t xml:space="preserve">中小企业特色产业集群  </w:t>
      </w:r>
      <w:r>
        <w:rPr>
          <w:rFonts w:hint="eastAsia"/>
          <w:b w:val="0"/>
          <w:bCs w:val="0"/>
          <w:color w:val="auto"/>
          <w:highlight w:val="none"/>
        </w:rPr>
        <w:t>指根</w:t>
      </w:r>
      <w:r>
        <w:rPr>
          <w:b w:val="0"/>
          <w:bCs w:val="0"/>
          <w:color w:val="auto"/>
          <w:szCs w:val="21"/>
          <w:highlight w:val="none"/>
        </w:rPr>
        <w:t>据《促进中小企业特色产业集群发展暂行办法》，经工业和信息化部认定的中小企业特色产业集群。</w:t>
      </w:r>
    </w:p>
    <w:p>
      <w:pPr>
        <w:spacing w:line="400" w:lineRule="exact"/>
        <w:ind w:firstLine="420" w:firstLineChars="200"/>
        <w:rPr>
          <w:b w:val="0"/>
          <w:bCs w:val="0"/>
          <w:color w:val="auto"/>
          <w:szCs w:val="21"/>
          <w:highlight w:val="none"/>
        </w:rPr>
      </w:pPr>
      <w:r>
        <w:rPr>
          <w:rFonts w:hint="eastAsia" w:eastAsia="黑体"/>
          <w:b w:val="0"/>
          <w:bCs w:val="0"/>
          <w:color w:val="auto"/>
          <w:highlight w:val="none"/>
        </w:rPr>
        <w:t>国家</w:t>
      </w:r>
      <w:r>
        <w:rPr>
          <w:rFonts w:eastAsia="黑体"/>
          <w:b w:val="0"/>
          <w:bCs w:val="0"/>
          <w:color w:val="auto"/>
          <w:highlight w:val="none"/>
        </w:rPr>
        <w:t>新型工业化产业示范基地</w:t>
      </w:r>
      <w:r>
        <w:rPr>
          <w:rFonts w:hint="eastAsia" w:eastAsia="黑体"/>
          <w:b w:val="0"/>
          <w:bCs w:val="0"/>
          <w:color w:val="auto"/>
          <w:highlight w:val="none"/>
        </w:rPr>
        <w:t xml:space="preserve">  </w:t>
      </w:r>
      <w:r>
        <w:rPr>
          <w:b w:val="0"/>
          <w:bCs w:val="0"/>
          <w:color w:val="auto"/>
          <w:highlight w:val="none"/>
        </w:rPr>
        <w:t>指根据《国家新型工业化产业示范基地管理办法》，经工业和信息化部认定的</w:t>
      </w:r>
      <w:r>
        <w:rPr>
          <w:rFonts w:hint="eastAsia"/>
          <w:b w:val="0"/>
          <w:bCs w:val="0"/>
          <w:color w:val="auto"/>
          <w:highlight w:val="none"/>
        </w:rPr>
        <w:t>国家</w:t>
      </w:r>
      <w:r>
        <w:rPr>
          <w:b w:val="0"/>
          <w:bCs w:val="0"/>
          <w:color w:val="auto"/>
          <w:highlight w:val="none"/>
        </w:rPr>
        <w:t>新型工业化产业示范基地。</w:t>
      </w:r>
    </w:p>
    <w:p>
      <w:pPr>
        <w:keepNext/>
        <w:keepLines/>
        <w:spacing w:line="400" w:lineRule="exact"/>
        <w:outlineLvl w:val="2"/>
        <w:rPr>
          <w:rFonts w:hint="eastAsia" w:ascii="宋体" w:hAnsi="宋体"/>
          <w:b/>
          <w:bCs/>
          <w:color w:val="FF0000"/>
          <w:sz w:val="28"/>
          <w:szCs w:val="28"/>
          <w:highlight w:val="none"/>
        </w:rPr>
        <w:sectPr>
          <w:pgSz w:w="11905" w:h="16838"/>
          <w:pgMar w:top="1332" w:right="1247" w:bottom="1332" w:left="1247" w:header="851" w:footer="737" w:gutter="0"/>
          <w:cols w:space="720" w:num="1"/>
          <w:titlePg/>
          <w:docGrid w:type="lines" w:linePitch="316" w:charSpace="0"/>
        </w:sectPr>
      </w:pPr>
    </w:p>
    <w:p>
      <w:pPr>
        <w:pStyle w:val="6"/>
        <w:spacing w:line="400" w:lineRule="exact"/>
        <w:rPr>
          <w:rFonts w:hint="eastAsia"/>
          <w:b w:val="0"/>
          <w:bCs w:val="0"/>
          <w:sz w:val="32"/>
          <w:highlight w:val="none"/>
        </w:rPr>
      </w:pPr>
      <w:bookmarkStart w:id="13" w:name="_Toc22513"/>
      <w:bookmarkStart w:id="14" w:name="_Toc16465"/>
      <w:bookmarkStart w:id="15" w:name="_Toc2944"/>
      <w:bookmarkStart w:id="16" w:name="_Toc13785"/>
    </w:p>
    <w:p>
      <w:pPr>
        <w:pStyle w:val="6"/>
        <w:spacing w:line="400" w:lineRule="exact"/>
        <w:rPr>
          <w:sz w:val="32"/>
          <w:highlight w:val="none"/>
        </w:rPr>
      </w:pPr>
      <w:bookmarkStart w:id="17" w:name="_Toc16215"/>
      <w:bookmarkStart w:id="18" w:name="_Toc16344"/>
      <w:bookmarkStart w:id="19" w:name="_Toc19706"/>
      <w:r>
        <w:rPr>
          <w:highlight w:val="none"/>
        </w:rPr>
        <mc:AlternateContent>
          <mc:Choice Requires="wps">
            <w:drawing>
              <wp:anchor distT="0" distB="0" distL="114300" distR="114300" simplePos="0" relativeHeight="251661312" behindDoc="0" locked="0" layoutInCell="1" allowOverlap="1">
                <wp:simplePos x="0" y="0"/>
                <wp:positionH relativeFrom="column">
                  <wp:posOffset>6854190</wp:posOffset>
                </wp:positionH>
                <wp:positionV relativeFrom="paragraph">
                  <wp:posOffset>203835</wp:posOffset>
                </wp:positionV>
                <wp:extent cx="2682240" cy="880745"/>
                <wp:effectExtent l="0" t="0" r="0" b="317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105025" cy="880745"/>
                        </a:xfrm>
                        <a:prstGeom prst="rect">
                          <a:avLst/>
                        </a:prstGeom>
                        <a:solidFill>
                          <a:srgbClr val="FFFFFF"/>
                        </a:solidFill>
                        <a:ln>
                          <a:noFill/>
                        </a:ln>
                        <a:effectLst/>
                      </wps:spPr>
                      <wps:txbx>
                        <w:txbxContent>
                          <w:p>
                            <w:pPr>
                              <w:widowControl/>
                              <w:tabs>
                                <w:tab w:val="left" w:pos="2415"/>
                              </w:tabs>
                              <w:spacing w:line="240" w:lineRule="exact"/>
                              <w:jc w:val="left"/>
                              <w:rPr>
                                <w:rFonts w:hint="eastAsia" w:ascii="宋体" w:hAnsi="宋体"/>
                                <w:sz w:val="18"/>
                              </w:rPr>
                            </w:pPr>
                            <w:r>
                              <w:rPr>
                                <w:rFonts w:hint="eastAsia" w:ascii="宋体" w:hAnsi="宋体"/>
                                <w:sz w:val="18"/>
                              </w:rPr>
                              <w:t>表    号：ＴＳＪＤ－０２</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39.7pt;margin-top:16.05pt;height:69.35pt;width:211.2pt;z-index:251661312;mso-width-relative:page;mso-height-relative:page;" fillcolor="#FFFFFF" filled="t" stroked="f" coordsize="21600,21600" o:gfxdata="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EiArG2AAAAAwBAAAPAAAA&#10;AAAAAAEAIAAAACIAAABkcnMvZG93bnJldi54bWxQSwECFAAUAAAACACHTuJALX8qChUCAAD+AwAA&#10;DgAAAAAAAAABACAAAAAnAQAAZHJzL2Uyb0RvYy54bWxQSwUGAAAAAAYABgBZAQAArgUAAAAA&#10;">
                <v:fill on="t" focussize="0,0"/>
                <v:stroke on="f"/>
                <v:imagedata o:title=""/>
                <o:lock v:ext="edit" aspectratio="f"/>
                <v:textbox>
                  <w:txbxContent>
                    <w:p>
                      <w:pPr>
                        <w:widowControl/>
                        <w:tabs>
                          <w:tab w:val="left" w:pos="2415"/>
                        </w:tabs>
                        <w:spacing w:line="240" w:lineRule="exact"/>
                        <w:jc w:val="left"/>
                        <w:rPr>
                          <w:rFonts w:hint="eastAsia" w:ascii="宋体" w:hAnsi="宋体"/>
                          <w:sz w:val="18"/>
                        </w:rPr>
                      </w:pPr>
                      <w:r>
                        <w:rPr>
                          <w:rFonts w:hint="eastAsia" w:ascii="宋体" w:hAnsi="宋体"/>
                          <w:sz w:val="18"/>
                        </w:rPr>
                        <w:t>表    号：ＴＳＪＤ－０２</w:t>
                      </w:r>
                    </w:p>
                    <w:p>
                      <w:pPr>
                        <w:widowControl/>
                        <w:tabs>
                          <w:tab w:val="left" w:pos="2415"/>
                        </w:tabs>
                        <w:spacing w:line="240" w:lineRule="exact"/>
                        <w:jc w:val="left"/>
                        <w:rPr>
                          <w:rFonts w:hint="eastAsia" w:ascii="宋体" w:hAnsi="宋体"/>
                          <w:sz w:val="18"/>
                        </w:rPr>
                      </w:pPr>
                      <w:r>
                        <w:rPr>
                          <w:rFonts w:hint="eastAsia" w:ascii="宋体" w:hAnsi="宋体"/>
                          <w:sz w:val="18"/>
                        </w:rPr>
                        <w:t>制定机关：工业和信息化部</w:t>
                      </w:r>
                    </w:p>
                    <w:p>
                      <w:pPr>
                        <w:widowControl/>
                        <w:tabs>
                          <w:tab w:val="left" w:pos="2415"/>
                        </w:tabs>
                        <w:spacing w:line="240" w:lineRule="exact"/>
                        <w:jc w:val="left"/>
                        <w:rPr>
                          <w:rFonts w:hint="eastAsia" w:ascii="宋体" w:hAnsi="宋体"/>
                          <w:sz w:val="18"/>
                        </w:rPr>
                      </w:pPr>
                      <w:r>
                        <w:rPr>
                          <w:rFonts w:hint="eastAsia" w:ascii="宋体" w:hAnsi="宋体"/>
                          <w:sz w:val="18"/>
                        </w:rPr>
                        <w:t>批准机关：国 家 统 计 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left"/>
                        <w:rPr>
                          <w:rFonts w:ascii="宋体" w:hAnsi="宋体"/>
                          <w:sz w:val="18"/>
                          <w:szCs w:val="18"/>
                        </w:rPr>
                      </w:pPr>
                    </w:p>
                  </w:txbxContent>
                </v:textbox>
              </v:shape>
            </w:pict>
          </mc:Fallback>
        </mc:AlternateContent>
      </w:r>
      <w:r>
        <w:rPr>
          <w:rFonts w:hint="eastAsia"/>
          <w:b w:val="0"/>
          <w:bCs w:val="0"/>
          <w:sz w:val="32"/>
          <w:highlight w:val="none"/>
        </w:rPr>
        <w:t>2.国家火炬特色产业基地</w:t>
      </w:r>
      <w:r>
        <w:rPr>
          <w:b w:val="0"/>
          <w:bCs w:val="0"/>
          <w:sz w:val="32"/>
          <w:highlight w:val="none"/>
        </w:rPr>
        <w:t>企业汇总情况</w:t>
      </w:r>
      <w:bookmarkEnd w:id="13"/>
      <w:bookmarkEnd w:id="14"/>
      <w:bookmarkEnd w:id="15"/>
      <w:bookmarkEnd w:id="16"/>
      <w:bookmarkEnd w:id="17"/>
      <w:bookmarkEnd w:id="18"/>
      <w:bookmarkEnd w:id="19"/>
    </w:p>
    <w:p>
      <w:pPr>
        <w:spacing w:line="240" w:lineRule="exact"/>
        <w:jc w:val="center"/>
        <w:rPr>
          <w:sz w:val="18"/>
          <w:highlight w:val="none"/>
        </w:rPr>
      </w:pPr>
    </w:p>
    <w:p>
      <w:pPr>
        <w:spacing w:line="240" w:lineRule="exact"/>
        <w:ind w:left="69" w:leftChars="-200" w:hanging="489" w:hangingChars="233"/>
        <w:rPr>
          <w:szCs w:val="32"/>
          <w:highlight w:val="none"/>
        </w:rPr>
      </w:pPr>
    </w:p>
    <w:p>
      <w:pPr>
        <w:spacing w:line="240" w:lineRule="exact"/>
        <w:ind w:left="69" w:leftChars="-200" w:hanging="489" w:hangingChars="233"/>
        <w:rPr>
          <w:szCs w:val="32"/>
          <w:highlight w:val="none"/>
        </w:rPr>
      </w:pPr>
    </w:p>
    <w:p>
      <w:pPr>
        <w:spacing w:line="240" w:lineRule="exact"/>
        <w:jc w:val="left"/>
        <w:rPr>
          <w:rFonts w:hint="eastAsia" w:ascii="宋体" w:hAnsi="宋体" w:cs="宋体"/>
          <w:sz w:val="18"/>
          <w:szCs w:val="18"/>
          <w:highlight w:val="none"/>
        </w:rPr>
      </w:pPr>
    </w:p>
    <w:p>
      <w:pPr>
        <w:spacing w:line="240" w:lineRule="exact"/>
        <w:ind w:firstLine="810" w:firstLineChars="450"/>
        <w:jc w:val="left"/>
        <w:rPr>
          <w:rFonts w:hint="eastAsia" w:ascii="宋体" w:hAnsi="宋体" w:cs="宋体"/>
          <w:sz w:val="18"/>
          <w:szCs w:val="18"/>
          <w:highlight w:val="none"/>
        </w:rPr>
      </w:pPr>
      <w:r>
        <w:rPr>
          <w:rFonts w:hint="eastAsia" w:ascii="宋体" w:hAnsi="宋体" w:cs="宋体"/>
          <w:sz w:val="18"/>
          <w:szCs w:val="18"/>
          <w:highlight w:val="none"/>
        </w:rPr>
        <w:t>综合机关名称：                                                   ２０　　年</w:t>
      </w:r>
    </w:p>
    <w:tbl>
      <w:tblPr>
        <w:tblStyle w:val="10"/>
        <w:tblpPr w:leftFromText="180" w:rightFromText="180" w:vertAnchor="text" w:horzAnchor="margin" w:tblpXSpec="center" w:tblpY="163"/>
        <w:tblW w:w="13198"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99"/>
        <w:gridCol w:w="719"/>
        <w:gridCol w:w="855"/>
        <w:gridCol w:w="740"/>
        <w:gridCol w:w="656"/>
        <w:gridCol w:w="1009"/>
        <w:gridCol w:w="629"/>
        <w:gridCol w:w="764"/>
        <w:gridCol w:w="547"/>
        <w:gridCol w:w="655"/>
        <w:gridCol w:w="875"/>
        <w:gridCol w:w="875"/>
        <w:gridCol w:w="875"/>
        <w:gridCol w:w="875"/>
        <w:gridCol w:w="875"/>
        <w:gridCol w:w="875"/>
        <w:gridCol w:w="875"/>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1236"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序号</w:t>
            </w:r>
          </w:p>
        </w:tc>
        <w:tc>
          <w:tcPr>
            <w:tcW w:w="719"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名称</w:t>
            </w:r>
          </w:p>
        </w:tc>
        <w:tc>
          <w:tcPr>
            <w:tcW w:w="85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企业登记注册统计类别代码</w:t>
            </w:r>
          </w:p>
        </w:tc>
        <w:tc>
          <w:tcPr>
            <w:tcW w:w="740" w:type="dxa"/>
            <w:vAlign w:val="center"/>
          </w:tcPr>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统一社会信用代码或组织机构代码</w:t>
            </w:r>
          </w:p>
        </w:tc>
        <w:tc>
          <w:tcPr>
            <w:tcW w:w="656" w:type="dxa"/>
            <w:vAlign w:val="center"/>
          </w:tcPr>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行业</w:t>
            </w:r>
          </w:p>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代码</w:t>
            </w:r>
          </w:p>
        </w:tc>
        <w:tc>
          <w:tcPr>
            <w:tcW w:w="1009" w:type="dxa"/>
            <w:vAlign w:val="center"/>
          </w:tcPr>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与科技企业孵化器的关系</w:t>
            </w:r>
          </w:p>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1.在孵企业</w:t>
            </w:r>
          </w:p>
          <w:p>
            <w:pPr>
              <w:widowControl/>
              <w:tabs>
                <w:tab w:val="left" w:pos="365"/>
              </w:tabs>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2.毕业企业</w:t>
            </w:r>
          </w:p>
          <w:p>
            <w:pPr>
              <w:widowControl/>
              <w:tabs>
                <w:tab w:val="left" w:pos="365"/>
              </w:tabs>
              <w:spacing w:line="280" w:lineRule="exact"/>
              <w:jc w:val="center"/>
              <w:rPr>
                <w:rFonts w:hint="default" w:eastAsia="宋体"/>
                <w:highlight w:val="none"/>
                <w:lang w:val="en-US" w:eastAsia="zh-CN"/>
              </w:rPr>
            </w:pPr>
            <w:r>
              <w:rPr>
                <w:rFonts w:hint="eastAsia" w:ascii="宋体" w:hAnsi="宋体" w:cs="宋体"/>
                <w:b w:val="0"/>
                <w:bCs w:val="0"/>
                <w:color w:val="auto"/>
                <w:kern w:val="0"/>
                <w:sz w:val="18"/>
                <w:szCs w:val="18"/>
                <w:highlight w:val="none"/>
                <w:lang w:val="en-US" w:eastAsia="zh-CN"/>
              </w:rPr>
              <w:t>3.无关</w:t>
            </w:r>
          </w:p>
        </w:tc>
        <w:tc>
          <w:tcPr>
            <w:tcW w:w="629"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法定</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代表人</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姓名</w:t>
            </w:r>
          </w:p>
        </w:tc>
        <w:tc>
          <w:tcPr>
            <w:tcW w:w="764"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主要产品</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（服务）</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内容</w:t>
            </w:r>
          </w:p>
        </w:tc>
        <w:tc>
          <w:tcPr>
            <w:tcW w:w="547" w:type="dxa"/>
            <w:vAlign w:val="center"/>
          </w:tcPr>
          <w:p>
            <w:pPr>
              <w:widowControl/>
              <w:spacing w:line="28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注册</w:t>
            </w:r>
          </w:p>
          <w:p>
            <w:pPr>
              <w:widowControl/>
              <w:spacing w:line="28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时间</w:t>
            </w:r>
          </w:p>
          <w:p>
            <w:pPr>
              <w:widowControl/>
              <w:spacing w:line="280" w:lineRule="exact"/>
              <w:ind w:left="180" w:hanging="180" w:hangingChars="100"/>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（年）</w:t>
            </w:r>
          </w:p>
        </w:tc>
        <w:tc>
          <w:tcPr>
            <w:tcW w:w="65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注册</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资金</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87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营业</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收入</w:t>
            </w:r>
          </w:p>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（千元）</w:t>
            </w:r>
          </w:p>
        </w:tc>
        <w:tc>
          <w:tcPr>
            <w:tcW w:w="87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是否为经认定的高新技术企业</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是否接入工业互联网平台（附名称）</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pStyle w:val="7"/>
              <w:jc w:val="center"/>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80" w:lineRule="exact"/>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是否通过GB/T19001认证</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pStyle w:val="7"/>
              <w:rPr>
                <w:rFonts w:hint="eastAsia" w:ascii="宋体" w:hAnsi="宋体" w:cs="宋体"/>
                <w:b w:val="0"/>
                <w:bCs w:val="0"/>
                <w:color w:val="auto"/>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是否通过GB/T19580认证</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1.是 2.否</w:t>
            </w:r>
          </w:p>
        </w:tc>
        <w:tc>
          <w:tcPr>
            <w:tcW w:w="875" w:type="dxa"/>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企业所属战略性新兴产业领域（仅选一项）</w:t>
            </w:r>
          </w:p>
        </w:tc>
        <w:tc>
          <w:tcPr>
            <w:tcW w:w="875" w:type="dxa"/>
            <w:vAlign w:val="center"/>
          </w:tcPr>
          <w:p>
            <w:pPr>
              <w:widowControl/>
              <w:spacing w:line="280" w:lineRule="exact"/>
              <w:jc w:val="center"/>
              <w:rPr>
                <w:rFonts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企业所属工业战略性新兴产业领域（仅选一项）</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代码</w:t>
            </w:r>
          </w:p>
        </w:tc>
        <w:tc>
          <w:tcPr>
            <w:tcW w:w="719" w:type="dxa"/>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TDF9A00B</w:t>
            </w:r>
          </w:p>
        </w:tc>
        <w:tc>
          <w:tcPr>
            <w:tcW w:w="855" w:type="dxa"/>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TDF9A00A1</w:t>
            </w:r>
          </w:p>
        </w:tc>
        <w:tc>
          <w:tcPr>
            <w:tcW w:w="740" w:type="dxa"/>
            <w:vAlign w:val="center"/>
          </w:tcPr>
          <w:p>
            <w:pPr>
              <w:tabs>
                <w:tab w:val="left" w:pos="365"/>
              </w:tabs>
              <w:spacing w:line="280" w:lineRule="exact"/>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w:t>
            </w:r>
          </w:p>
        </w:tc>
        <w:tc>
          <w:tcPr>
            <w:tcW w:w="656" w:type="dxa"/>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TDF9A00A2</w:t>
            </w:r>
          </w:p>
        </w:tc>
        <w:tc>
          <w:tcPr>
            <w:tcW w:w="1009"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3</w:t>
            </w:r>
          </w:p>
        </w:tc>
        <w:tc>
          <w:tcPr>
            <w:tcW w:w="629"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4</w:t>
            </w:r>
          </w:p>
        </w:tc>
        <w:tc>
          <w:tcPr>
            <w:tcW w:w="764"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5</w:t>
            </w:r>
          </w:p>
        </w:tc>
        <w:tc>
          <w:tcPr>
            <w:tcW w:w="547"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6</w:t>
            </w:r>
          </w:p>
        </w:tc>
        <w:tc>
          <w:tcPr>
            <w:tcW w:w="655"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7</w:t>
            </w:r>
          </w:p>
        </w:tc>
        <w:tc>
          <w:tcPr>
            <w:tcW w:w="875"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8</w:t>
            </w:r>
          </w:p>
        </w:tc>
        <w:tc>
          <w:tcPr>
            <w:tcW w:w="875"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9</w:t>
            </w:r>
          </w:p>
        </w:tc>
        <w:tc>
          <w:tcPr>
            <w:tcW w:w="875" w:type="dxa"/>
            <w:vAlign w:val="center"/>
          </w:tcPr>
          <w:p>
            <w:pPr>
              <w:spacing w:line="280" w:lineRule="exact"/>
              <w:jc w:val="center"/>
              <w:rPr>
                <w:rFonts w:hint="default"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10</w:t>
            </w:r>
          </w:p>
        </w:tc>
        <w:tc>
          <w:tcPr>
            <w:tcW w:w="875" w:type="dxa"/>
            <w:vAlign w:val="center"/>
          </w:tcPr>
          <w:p>
            <w:pPr>
              <w:spacing w:line="280" w:lineRule="exact"/>
              <w:jc w:val="center"/>
              <w:rPr>
                <w:rFonts w:hint="default"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12</w:t>
            </w:r>
          </w:p>
        </w:tc>
        <w:tc>
          <w:tcPr>
            <w:tcW w:w="875" w:type="dxa"/>
            <w:vAlign w:val="center"/>
          </w:tcPr>
          <w:p>
            <w:pPr>
              <w:spacing w:line="280" w:lineRule="exact"/>
              <w:jc w:val="center"/>
              <w:rPr>
                <w:rFonts w:hint="default"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TDF9A00A</w:t>
            </w:r>
            <w:r>
              <w:rPr>
                <w:rFonts w:hint="eastAsia" w:ascii="宋体" w:hAnsi="宋体" w:cs="宋体"/>
                <w:b w:val="0"/>
                <w:bCs w:val="0"/>
                <w:color w:val="auto"/>
                <w:sz w:val="18"/>
                <w:szCs w:val="18"/>
                <w:highlight w:val="none"/>
                <w:lang w:val="en-US" w:eastAsia="zh-CN"/>
              </w:rPr>
              <w:t>13</w:t>
            </w:r>
          </w:p>
        </w:tc>
        <w:tc>
          <w:tcPr>
            <w:tcW w:w="875" w:type="dxa"/>
            <w:vAlign w:val="center"/>
          </w:tcPr>
          <w:p>
            <w:pPr>
              <w:spacing w:line="280" w:lineRule="exact"/>
              <w:jc w:val="center"/>
              <w:rPr>
                <w:rFonts w:hint="eastAsia" w:ascii="宋体" w:hAnsi="宋体" w:cs="宋体"/>
                <w:b w:val="0"/>
                <w:bCs w:val="0"/>
                <w:color w:val="auto"/>
                <w:sz w:val="18"/>
                <w:szCs w:val="18"/>
                <w:highlight w:val="none"/>
              </w:rPr>
            </w:pPr>
            <w:r>
              <w:rPr>
                <w:rFonts w:hint="eastAsia" w:ascii="宋体" w:hAnsi="宋体" w:eastAsia="宋体" w:cs="宋体"/>
                <w:b w:val="0"/>
                <w:bCs w:val="0"/>
                <w:color w:val="auto"/>
                <w:kern w:val="2"/>
                <w:sz w:val="18"/>
                <w:szCs w:val="18"/>
                <w:highlight w:val="none"/>
                <w:lang w:val="en-US" w:eastAsia="zh-CN" w:bidi="ar"/>
              </w:rPr>
              <w:t>TDF9A00</w:t>
            </w:r>
            <w:r>
              <w:rPr>
                <w:rFonts w:hint="eastAsia" w:ascii="宋体" w:hAnsi="宋体" w:cs="宋体"/>
                <w:b w:val="0"/>
                <w:bCs w:val="0"/>
                <w:color w:val="auto"/>
                <w:sz w:val="18"/>
                <w:szCs w:val="18"/>
                <w:highlight w:val="none"/>
              </w:rPr>
              <w:t>C</w:t>
            </w:r>
          </w:p>
        </w:tc>
        <w:tc>
          <w:tcPr>
            <w:tcW w:w="875" w:type="dxa"/>
            <w:vAlign w:val="center"/>
          </w:tcPr>
          <w:p>
            <w:pPr>
              <w:spacing w:line="280" w:lineRule="exact"/>
              <w:jc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kern w:val="2"/>
                <w:sz w:val="18"/>
                <w:szCs w:val="18"/>
                <w:highlight w:val="none"/>
                <w:lang w:val="en-US" w:eastAsia="zh-CN" w:bidi="ar"/>
              </w:rPr>
              <w:t>TDF9A00</w:t>
            </w:r>
            <w:r>
              <w:rPr>
                <w:rFonts w:hint="eastAsia" w:ascii="宋体" w:hAnsi="宋体" w:eastAsia="宋体" w:cs="宋体"/>
                <w:b w:val="0"/>
                <w:bCs w:val="0"/>
                <w:color w:val="auto"/>
                <w:sz w:val="18"/>
                <w:szCs w:val="18"/>
                <w:highlight w:val="none"/>
                <w:lang w:val="en-US" w:eastAsia="zh-CN"/>
              </w:rPr>
              <w:t>E</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1</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c>
          <w:tcPr>
            <w:tcW w:w="875" w:type="dxa"/>
            <w:vAlign w:val="center"/>
          </w:tcPr>
          <w:p>
            <w:pPr>
              <w:widowControl/>
              <w:spacing w:line="280" w:lineRule="exact"/>
              <w:jc w:val="left"/>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2</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3</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4</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4" w:hRule="atLeast"/>
        </w:trPr>
        <w:tc>
          <w:tcPr>
            <w:tcW w:w="499" w:type="dxa"/>
            <w:vAlign w:val="center"/>
          </w:tcPr>
          <w:p>
            <w:pPr>
              <w:widowControl/>
              <w:spacing w:line="280" w:lineRule="exact"/>
              <w:jc w:val="left"/>
              <w:rPr>
                <w:rFonts w:hint="eastAsia" w:ascii="宋体" w:hAnsi="宋体" w:cs="宋体"/>
                <w:kern w:val="0"/>
                <w:sz w:val="18"/>
                <w:szCs w:val="18"/>
                <w:highlight w:val="none"/>
              </w:rPr>
            </w:pPr>
          </w:p>
        </w:tc>
        <w:tc>
          <w:tcPr>
            <w:tcW w:w="719" w:type="dxa"/>
            <w:vAlign w:val="center"/>
          </w:tcPr>
          <w:p>
            <w:pPr>
              <w:widowControl/>
              <w:spacing w:line="280" w:lineRule="exact"/>
              <w:jc w:val="center"/>
              <w:rPr>
                <w:rFonts w:hint="eastAsia" w:ascii="宋体" w:hAnsi="宋体" w:cs="宋体"/>
                <w:kern w:val="0"/>
                <w:sz w:val="18"/>
                <w:szCs w:val="18"/>
                <w:highlight w:val="none"/>
              </w:rPr>
            </w:pPr>
          </w:p>
        </w:tc>
        <w:tc>
          <w:tcPr>
            <w:tcW w:w="855" w:type="dxa"/>
            <w:vAlign w:val="center"/>
          </w:tcPr>
          <w:p>
            <w:pPr>
              <w:widowControl/>
              <w:spacing w:line="280" w:lineRule="exact"/>
              <w:jc w:val="center"/>
              <w:rPr>
                <w:rFonts w:hint="eastAsia" w:ascii="宋体" w:hAnsi="宋体" w:cs="宋体"/>
                <w:kern w:val="0"/>
                <w:sz w:val="18"/>
                <w:szCs w:val="18"/>
                <w:highlight w:val="none"/>
              </w:rPr>
            </w:pPr>
          </w:p>
        </w:tc>
        <w:tc>
          <w:tcPr>
            <w:tcW w:w="740"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656" w:type="dxa"/>
            <w:vAlign w:val="center"/>
          </w:tcPr>
          <w:p>
            <w:pPr>
              <w:widowControl/>
              <w:tabs>
                <w:tab w:val="left" w:pos="365"/>
              </w:tabs>
              <w:spacing w:line="280" w:lineRule="exact"/>
              <w:jc w:val="center"/>
              <w:rPr>
                <w:rFonts w:hint="eastAsia" w:ascii="宋体" w:hAnsi="宋体" w:cs="宋体"/>
                <w:kern w:val="0"/>
                <w:sz w:val="18"/>
                <w:szCs w:val="18"/>
                <w:highlight w:val="none"/>
              </w:rPr>
            </w:pPr>
          </w:p>
        </w:tc>
        <w:tc>
          <w:tcPr>
            <w:tcW w:w="1009" w:type="dxa"/>
            <w:vAlign w:val="center"/>
          </w:tcPr>
          <w:p>
            <w:pPr>
              <w:widowControl/>
              <w:spacing w:line="280" w:lineRule="exact"/>
              <w:jc w:val="center"/>
              <w:rPr>
                <w:rFonts w:hint="eastAsia" w:ascii="宋体" w:hAnsi="宋体" w:cs="宋体"/>
                <w:kern w:val="0"/>
                <w:sz w:val="18"/>
                <w:szCs w:val="18"/>
                <w:highlight w:val="none"/>
              </w:rPr>
            </w:pPr>
          </w:p>
        </w:tc>
        <w:tc>
          <w:tcPr>
            <w:tcW w:w="629" w:type="dxa"/>
            <w:vAlign w:val="center"/>
          </w:tcPr>
          <w:p>
            <w:pPr>
              <w:widowControl/>
              <w:spacing w:line="280" w:lineRule="exact"/>
              <w:jc w:val="center"/>
              <w:rPr>
                <w:rFonts w:hint="eastAsia" w:ascii="宋体" w:hAnsi="宋体" w:cs="宋体"/>
                <w:kern w:val="0"/>
                <w:sz w:val="18"/>
                <w:szCs w:val="18"/>
                <w:highlight w:val="none"/>
              </w:rPr>
            </w:pPr>
          </w:p>
        </w:tc>
        <w:tc>
          <w:tcPr>
            <w:tcW w:w="764" w:type="dxa"/>
            <w:vAlign w:val="center"/>
          </w:tcPr>
          <w:p>
            <w:pPr>
              <w:widowControl/>
              <w:spacing w:line="280" w:lineRule="exact"/>
              <w:jc w:val="center"/>
              <w:rPr>
                <w:rFonts w:hint="eastAsia" w:ascii="宋体" w:hAnsi="宋体" w:cs="宋体"/>
                <w:kern w:val="0"/>
                <w:sz w:val="18"/>
                <w:szCs w:val="18"/>
                <w:highlight w:val="none"/>
              </w:rPr>
            </w:pPr>
          </w:p>
        </w:tc>
        <w:tc>
          <w:tcPr>
            <w:tcW w:w="547" w:type="dxa"/>
            <w:vAlign w:val="center"/>
          </w:tcPr>
          <w:p>
            <w:pPr>
              <w:widowControl/>
              <w:spacing w:line="280" w:lineRule="exact"/>
              <w:jc w:val="center"/>
              <w:rPr>
                <w:rFonts w:hint="eastAsia" w:ascii="宋体" w:hAnsi="宋体" w:cs="宋体"/>
                <w:kern w:val="0"/>
                <w:sz w:val="18"/>
                <w:szCs w:val="18"/>
                <w:highlight w:val="none"/>
              </w:rPr>
            </w:pPr>
          </w:p>
        </w:tc>
        <w:tc>
          <w:tcPr>
            <w:tcW w:w="65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c>
          <w:tcPr>
            <w:tcW w:w="875" w:type="dxa"/>
            <w:vAlign w:val="center"/>
          </w:tcPr>
          <w:p>
            <w:pPr>
              <w:widowControl/>
              <w:spacing w:line="280" w:lineRule="exact"/>
              <w:jc w:val="center"/>
              <w:rPr>
                <w:rFonts w:hint="eastAsia" w:ascii="宋体" w:hAnsi="宋体" w:cs="宋体"/>
                <w:kern w:val="0"/>
                <w:sz w:val="18"/>
                <w:szCs w:val="18"/>
                <w:highlight w:val="none"/>
              </w:rPr>
            </w:pPr>
          </w:p>
        </w:tc>
      </w:tr>
    </w:tbl>
    <w:p>
      <w:pPr>
        <w:snapToGrid w:val="0"/>
        <w:spacing w:line="280" w:lineRule="exact"/>
        <w:jc w:val="distribute"/>
        <w:rPr>
          <w:sz w:val="18"/>
          <w:szCs w:val="20"/>
          <w:highlight w:val="none"/>
        </w:rPr>
      </w:pPr>
      <w:r>
        <w:rPr>
          <w:rFonts w:hint="eastAsia"/>
          <w:sz w:val="18"/>
          <w:szCs w:val="20"/>
          <w:highlight w:val="none"/>
        </w:rPr>
        <w:t xml:space="preserve">    </w:t>
      </w:r>
      <w:r>
        <w:rPr>
          <w:sz w:val="18"/>
          <w:szCs w:val="20"/>
          <w:highlight w:val="none"/>
        </w:rPr>
        <w:t>单位负责人：</w:t>
      </w:r>
      <w:r>
        <w:rPr>
          <w:rFonts w:hint="eastAsia"/>
          <w:sz w:val="18"/>
          <w:szCs w:val="20"/>
          <w:highlight w:val="none"/>
          <w:u w:val="single"/>
        </w:rPr>
        <w:t xml:space="preserve">       </w:t>
      </w:r>
      <w:r>
        <w:rPr>
          <w:rFonts w:hint="eastAsia"/>
          <w:sz w:val="18"/>
          <w:szCs w:val="20"/>
          <w:highlight w:val="none"/>
        </w:rPr>
        <w:t>统计负责人：</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315" w:firstLineChars="150"/>
        <w:jc w:val="left"/>
        <w:rPr>
          <w:highlight w:val="none"/>
        </w:rPr>
      </w:pPr>
    </w:p>
    <w:p>
      <w:pPr>
        <w:spacing w:line="380" w:lineRule="exact"/>
        <w:ind w:firstLine="810" w:firstLineChars="450"/>
        <w:jc w:val="left"/>
        <w:rPr>
          <w:rFonts w:hint="eastAsia" w:ascii="宋体" w:hAnsi="宋体" w:cs="宋体"/>
          <w:sz w:val="18"/>
          <w:szCs w:val="20"/>
          <w:highlight w:val="none"/>
        </w:rPr>
      </w:pPr>
      <w:r>
        <w:rPr>
          <w:rFonts w:hint="eastAsia" w:ascii="宋体" w:hAnsi="宋体" w:cs="宋体"/>
          <w:sz w:val="18"/>
          <w:szCs w:val="20"/>
          <w:highlight w:val="none"/>
        </w:rPr>
        <w:t>说明：1.填报范围：经工业和信息化部火炬中心认定的国家火炬特色产业基地通过收集基层企业情况填报，所填企业应为与基地主导（终端）产品直接关联的研发、生产、服务等企业。</w:t>
      </w:r>
    </w:p>
    <w:p>
      <w:pPr>
        <w:snapToGrid w:val="0"/>
        <w:spacing w:line="280" w:lineRule="exact"/>
        <w:ind w:left="525" w:leftChars="250" w:firstLine="810" w:firstLineChars="450"/>
        <w:jc w:val="left"/>
        <w:rPr>
          <w:rFonts w:hint="eastAsia" w:ascii="宋体" w:hAnsi="宋体" w:cs="宋体"/>
          <w:sz w:val="18"/>
          <w:szCs w:val="21"/>
          <w:highlight w:val="none"/>
        </w:rPr>
      </w:pPr>
      <w:r>
        <w:rPr>
          <w:rFonts w:hint="eastAsia" w:ascii="宋体" w:hAnsi="宋体" w:cs="宋体"/>
          <w:sz w:val="18"/>
          <w:szCs w:val="21"/>
          <w:highlight w:val="none"/>
        </w:rPr>
        <w:t>2</w:t>
      </w:r>
      <w:r>
        <w:rPr>
          <w:rFonts w:hint="eastAsia" w:ascii="宋体" w:hAnsi="宋体" w:cs="宋体"/>
          <w:sz w:val="18"/>
          <w:szCs w:val="20"/>
          <w:highlight w:val="none"/>
        </w:rPr>
        <w:t>.报送日期及方式：填报单位于报告期次年3月31日前，通过网络平台报送；各省级有关行政管理部门于4月30日前完成审核。</w:t>
      </w:r>
    </w:p>
    <w:p>
      <w:pPr>
        <w:spacing w:line="280" w:lineRule="exact"/>
        <w:jc w:val="left"/>
        <w:rPr>
          <w:rFonts w:hint="eastAsia" w:ascii="黑体" w:hAnsi="黑体" w:eastAsia="黑体" w:cs="黑体"/>
          <w:bCs/>
          <w:sz w:val="32"/>
          <w:szCs w:val="32"/>
          <w:highlight w:val="none"/>
        </w:rPr>
        <w:sectPr>
          <w:footerReference r:id="rId3" w:type="default"/>
          <w:pgSz w:w="16838" w:h="11905" w:orient="landscape"/>
          <w:pgMar w:top="1531" w:right="1474" w:bottom="1531" w:left="1474" w:header="851" w:footer="737" w:gutter="0"/>
          <w:cols w:space="720" w:num="1"/>
          <w:titlePg/>
          <w:docGrid w:type="lines" w:linePitch="316" w:charSpace="0"/>
        </w:sectPr>
      </w:pPr>
      <w:r>
        <w:rPr>
          <w:rFonts w:hint="eastAsia" w:ascii="宋体" w:hAnsi="宋体" w:cs="宋体"/>
          <w:sz w:val="18"/>
          <w:szCs w:val="21"/>
          <w:highlight w:val="none"/>
        </w:rPr>
        <w:t xml:space="preserve">               3.审核关系：所填报企业总数必须与表号</w:t>
      </w:r>
      <w:r>
        <w:rPr>
          <w:rFonts w:hint="eastAsia" w:ascii="宋体" w:hAnsi="宋体" w:cs="宋体"/>
          <w:sz w:val="18"/>
          <w:highlight w:val="none"/>
        </w:rPr>
        <w:t>TSJD-01</w:t>
      </w:r>
      <w:r>
        <w:rPr>
          <w:rFonts w:hint="eastAsia" w:ascii="宋体" w:hAnsi="宋体" w:cs="宋体"/>
          <w:sz w:val="18"/>
          <w:szCs w:val="21"/>
          <w:highlight w:val="none"/>
        </w:rPr>
        <w:t>基地内企业（</w:t>
      </w:r>
      <w:r>
        <w:rPr>
          <w:rFonts w:hint="eastAsia" w:ascii="宋体" w:hAnsi="宋体" w:cs="宋体"/>
          <w:sz w:val="18"/>
          <w:highlight w:val="none"/>
        </w:rPr>
        <w:t>TDF9A00</w:t>
      </w:r>
      <w:r>
        <w:rPr>
          <w:rFonts w:hint="eastAsia" w:ascii="宋体" w:hAnsi="宋体" w:cs="宋体"/>
          <w:sz w:val="18"/>
          <w:szCs w:val="21"/>
          <w:highlight w:val="none"/>
        </w:rPr>
        <w:t>）一致。</w:t>
      </w:r>
    </w:p>
    <w:p>
      <w:pPr>
        <w:pStyle w:val="2"/>
        <w:ind w:left="0" w:leftChars="0" w:firstLine="0" w:firstLineChars="0"/>
        <w:rPr>
          <w:rFonts w:hint="eastAsia"/>
          <w:highlight w:val="none"/>
        </w:rPr>
      </w:pPr>
    </w:p>
    <w:p>
      <w:pPr>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ind w:firstLine="420" w:firstLineChars="200"/>
        <w:rPr>
          <w:rFonts w:eastAsia="黑体"/>
          <w:highlight w:val="none"/>
        </w:rPr>
      </w:pPr>
    </w:p>
    <w:p>
      <w:pPr>
        <w:spacing w:line="400" w:lineRule="exact"/>
        <w:ind w:firstLine="420" w:firstLineChars="200"/>
        <w:rPr>
          <w:rFonts w:hint="eastAsia"/>
          <w:b w:val="0"/>
          <w:bCs w:val="0"/>
          <w:color w:val="auto"/>
          <w:highlight w:val="none"/>
        </w:rPr>
      </w:pPr>
      <w:r>
        <w:rPr>
          <w:rFonts w:eastAsia="黑体"/>
          <w:b w:val="0"/>
          <w:bCs w:val="0"/>
          <w:color w:val="auto"/>
          <w:highlight w:val="none"/>
        </w:rPr>
        <w:t>内资企业</w:t>
      </w:r>
      <w:r>
        <w:rPr>
          <w:rFonts w:hint="eastAsia" w:eastAsia="黑体"/>
          <w:b w:val="0"/>
          <w:bCs w:val="0"/>
          <w:color w:val="auto"/>
          <w:highlight w:val="none"/>
        </w:rPr>
        <w:t xml:space="preserve">  </w:t>
      </w:r>
      <w:r>
        <w:rPr>
          <w:rFonts w:hint="eastAsia"/>
          <w:b w:val="0"/>
          <w:bCs w:val="0"/>
          <w:color w:val="auto"/>
          <w:highlight w:val="none"/>
        </w:rPr>
        <w:t>分为有限责任公司、股份有限公司、非公司企业法人、个人独资企业、合伙企业和其他内资企业。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有限责任公司</w:t>
      </w:r>
      <w:r>
        <w:rPr>
          <w:rFonts w:hint="eastAsia"/>
          <w:b w:val="0"/>
          <w:bCs w:val="0"/>
          <w:color w:val="auto"/>
          <w:highlight w:val="none"/>
        </w:rPr>
        <w:t xml:space="preserve">  包括登记注册为“内资公司有限责任公司（国有独资）”、“内资公司有限责任公司（外商投资企业投资）”、“内资公司有限责任公司（自然人投资或控股）”和“内资分公司有限责任公司分公司（国有独资）”等类型的市场主体。根据相关属性，将有限责任公司进一步划分为国有独资公司、私营有限责任公司和其他有限责任公司。</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股份有限公司</w:t>
      </w:r>
      <w:r>
        <w:rPr>
          <w:rFonts w:hint="eastAsia"/>
          <w:b w:val="0"/>
          <w:bCs w:val="0"/>
          <w:color w:val="auto"/>
          <w:highlight w:val="none"/>
        </w:rPr>
        <w:t xml:space="preserve">  包括登记注册为“内资公司股份有限公司（上市）”、“内资公司股份有限公司（非上市）和“内资分公司股份有限公司分公司（上市）”等类型的市场主体。根据相关属性，将股份有限公司进一步划分为私营股份有限公司和其他股份有限公司。</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非公司企业法人</w:t>
      </w:r>
      <w:r>
        <w:rPr>
          <w:rFonts w:hint="eastAsia"/>
          <w:b w:val="0"/>
          <w:bCs w:val="0"/>
          <w:color w:val="auto"/>
          <w:highlight w:val="none"/>
        </w:rPr>
        <w:t xml:space="preserve">  包括登记注册为“全民所有制”、“集体所有制”、“股份合作制”和“联营”等类型的市场主体。根据相关属性，将非公司企业法人进一步划分为全民所有制企业（国有企业）、集体所有制企业（集体企业）、股份合作企业和联营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个人独资企业</w:t>
      </w:r>
      <w:r>
        <w:rPr>
          <w:rFonts w:hint="eastAsia"/>
          <w:b w:val="0"/>
          <w:bCs w:val="0"/>
          <w:color w:val="auto"/>
          <w:highlight w:val="none"/>
        </w:rPr>
        <w:t xml:space="preserve">  包括登记注册为“个人独资企业”和“个人独资企业分支机构”的市场主体。</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合伙企业</w:t>
      </w:r>
      <w:r>
        <w:rPr>
          <w:rFonts w:hint="eastAsia"/>
          <w:b w:val="0"/>
          <w:bCs w:val="0"/>
          <w:color w:val="auto"/>
          <w:highlight w:val="none"/>
        </w:rPr>
        <w:t xml:space="preserve">  包括登记注册为“合伙企业”和“合伙企业分支机构”的市场主体。</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其他内资企业</w:t>
      </w:r>
      <w:r>
        <w:rPr>
          <w:rFonts w:hint="eastAsia"/>
          <w:b w:val="0"/>
          <w:bCs w:val="0"/>
          <w:color w:val="auto"/>
          <w:highlight w:val="none"/>
        </w:rPr>
        <w:t xml:space="preserve">  包括除上述之外，登记注册为“内资企业法人”和“内资集团”等类型的市场主体。</w:t>
      </w:r>
    </w:p>
    <w:p>
      <w:pPr>
        <w:spacing w:line="400" w:lineRule="exact"/>
        <w:ind w:firstLine="420" w:firstLineChars="200"/>
        <w:rPr>
          <w:rFonts w:hint="eastAsia"/>
          <w:b w:val="0"/>
          <w:bCs w:val="0"/>
          <w:color w:val="auto"/>
          <w:highlight w:val="none"/>
        </w:rPr>
      </w:pPr>
      <w:r>
        <w:rPr>
          <w:rFonts w:hint="eastAsia"/>
          <w:b w:val="0"/>
          <w:bCs w:val="0"/>
          <w:color w:val="auto"/>
          <w:highlight w:val="none"/>
        </w:rPr>
        <w:t>填报代码为：110有限责任公司；111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港澳台投资企业</w:t>
      </w:r>
      <w:r>
        <w:rPr>
          <w:rFonts w:hint="eastAsia"/>
          <w:b w:val="0"/>
          <w:bCs w:val="0"/>
          <w:color w:val="auto"/>
          <w:highlight w:val="none"/>
        </w:rPr>
        <w:t xml:space="preserve">  包括登记注册为“港、澳、台投资企业有限责任公司”、“港、澳、台投资企业股份有限公司”和“港、澳、台投资企业非公司”等类型的市场主体。根据相关属性，将港澳台投资企业进一步划分为港澳台投资有限责任公司、港澳台投资股份有限公司、港澳台投资合伙企业和其他港澳台投资企业。</w:t>
      </w:r>
    </w:p>
    <w:p>
      <w:pPr>
        <w:spacing w:line="400" w:lineRule="exact"/>
        <w:ind w:firstLine="420" w:firstLineChars="200"/>
        <w:rPr>
          <w:rFonts w:hint="eastAsia"/>
          <w:b w:val="0"/>
          <w:bCs w:val="0"/>
          <w:color w:val="auto"/>
          <w:highlight w:val="none"/>
        </w:rPr>
      </w:pPr>
      <w:r>
        <w:rPr>
          <w:rFonts w:hint="eastAsia"/>
          <w:b w:val="0"/>
          <w:bCs w:val="0"/>
          <w:color w:val="auto"/>
          <w:highlight w:val="none"/>
        </w:rPr>
        <w:t>填报代码为：210港澳台投资有限责任公司；220港澳台投资股份有限公司；230港澳台投资合伙企业；290其他港澳台投资企业。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外商投资企业</w:t>
      </w:r>
      <w:r>
        <w:rPr>
          <w:rFonts w:hint="eastAsia"/>
          <w:b w:val="0"/>
          <w:bCs w:val="0"/>
          <w:color w:val="auto"/>
          <w:highlight w:val="none"/>
        </w:rPr>
        <w:t xml:space="preserve">  包括登记注册为“外商投资企业有限责任公司”、“外商投资企业股份有限公司”、“外国（地区）公司分支机构”和“外资集团”等类型的市场主体。根据相关属性，将外商投资企业进一步划分为外商投资有限责任公司、外商投资股份有限公司、外商投资合伙企业和其他外商投资企业。</w:t>
      </w:r>
    </w:p>
    <w:p>
      <w:pPr>
        <w:spacing w:line="400" w:lineRule="exact"/>
        <w:ind w:firstLine="420" w:firstLineChars="200"/>
        <w:rPr>
          <w:b w:val="0"/>
          <w:bCs w:val="0"/>
          <w:color w:val="auto"/>
          <w:highlight w:val="none"/>
        </w:rPr>
      </w:pPr>
      <w:r>
        <w:rPr>
          <w:rFonts w:hint="eastAsia"/>
          <w:b w:val="0"/>
          <w:bCs w:val="0"/>
          <w:color w:val="auto"/>
          <w:highlight w:val="none"/>
        </w:rPr>
        <w:t>填报代码为：310外商投资有限责任公司；320外商投资股份有限公司；330外商投资合伙企业；390其他外商投资企业。</w:t>
      </w:r>
    </w:p>
    <w:p>
      <w:pPr>
        <w:spacing w:line="400" w:lineRule="exact"/>
        <w:ind w:firstLine="420" w:firstLineChars="200"/>
        <w:rPr>
          <w:b w:val="0"/>
          <w:bCs w:val="0"/>
          <w:color w:val="auto"/>
          <w:highlight w:val="none"/>
        </w:rPr>
      </w:pPr>
      <w:r>
        <w:rPr>
          <w:rFonts w:eastAsia="黑体"/>
          <w:b w:val="0"/>
          <w:bCs w:val="0"/>
          <w:color w:val="auto"/>
          <w:highlight w:val="none"/>
        </w:rPr>
        <w:t>统一社会信用代码</w:t>
      </w:r>
      <w:r>
        <w:rPr>
          <w:b w:val="0"/>
          <w:bCs w:val="0"/>
          <w:color w:val="auto"/>
          <w:highlight w:val="none"/>
        </w:rPr>
        <w:t>指按照《国务院关于批转发展改革委等部门法人和其他组织统一社会信用代码制度建设总体方案的通知》（国发〔2015〕33 号）规定，由赋码主管部门给每一个法人单位和其他组织颁发的在全国范围内唯一的、终身不变的法定身份识别码。</w:t>
      </w:r>
    </w:p>
    <w:p>
      <w:pPr>
        <w:spacing w:line="400" w:lineRule="exact"/>
        <w:ind w:firstLine="420" w:firstLineChars="200"/>
        <w:rPr>
          <w:b w:val="0"/>
          <w:bCs w:val="0"/>
          <w:color w:val="auto"/>
          <w:highlight w:val="none"/>
        </w:rPr>
      </w:pPr>
      <w:r>
        <w:rPr>
          <w:b w:val="0"/>
          <w:bCs w:val="0"/>
          <w:color w:val="auto"/>
          <w:highlight w:val="none"/>
        </w:rPr>
        <w:t>统一社会信用代码由 18 位的阿拉伯数字或大写英文字母（不使用 I、O、Z、S、V）组成，第 1 位为登记管理部门代码、第 2 位为机构类别代码、第 3-8 位为登记管理机关行政区划码、第 9-17 位为组织机构代码、第 18 位为校验码。</w:t>
      </w:r>
    </w:p>
    <w:p>
      <w:pPr>
        <w:spacing w:line="400" w:lineRule="exact"/>
        <w:ind w:firstLine="420" w:firstLineChars="200"/>
        <w:rPr>
          <w:highlight w:val="none"/>
        </w:rPr>
      </w:pPr>
      <w:r>
        <w:rPr>
          <w:b w:val="0"/>
          <w:bCs w:val="0"/>
          <w:color w:val="auto"/>
          <w:highlight w:val="none"/>
        </w:rPr>
        <w:t>第</w:t>
      </w:r>
      <w:r>
        <w:rPr>
          <w:rFonts w:hint="eastAsia"/>
          <w:b w:val="0"/>
          <w:bCs w:val="0"/>
          <w:color w:val="auto"/>
          <w:highlight w:val="none"/>
        </w:rPr>
        <w:t>1</w:t>
      </w:r>
      <w:r>
        <w:rPr>
          <w:b w:val="0"/>
          <w:bCs w:val="0"/>
          <w:color w:val="auto"/>
          <w:highlight w:val="none"/>
        </w:rPr>
        <w:t>位：登记管理部门代码，使</w:t>
      </w:r>
      <w:r>
        <w:rPr>
          <w:highlight w:val="none"/>
        </w:rPr>
        <w:t>用阿拉伯数字或英文字母表示。分为1机构编制；2外交；3 司法行政；4 文化；5 民政；6 旅游；7 宗教；8 工会；9 市场监管；A 中央军委改革和编制办公室；N 农业；Y 其他。</w:t>
      </w:r>
    </w:p>
    <w:p>
      <w:pPr>
        <w:spacing w:line="400" w:lineRule="exact"/>
        <w:ind w:firstLine="420" w:firstLineChars="200"/>
        <w:rPr>
          <w:highlight w:val="none"/>
        </w:rPr>
      </w:pPr>
      <w:r>
        <w:rPr>
          <w:highlight w:val="none"/>
        </w:rPr>
        <w:t>第</w:t>
      </w:r>
      <w:r>
        <w:rPr>
          <w:rFonts w:hint="eastAsia"/>
          <w:highlight w:val="none"/>
        </w:rPr>
        <w:t>2</w:t>
      </w:r>
      <w:r>
        <w:rPr>
          <w:highlight w:val="none"/>
        </w:rPr>
        <w:t>位：机构类别代码，使用阿拉伯数字表示。分为：</w:t>
      </w:r>
    </w:p>
    <w:p>
      <w:pPr>
        <w:spacing w:line="400" w:lineRule="exact"/>
        <w:ind w:firstLine="420" w:firstLineChars="200"/>
        <w:rPr>
          <w:highlight w:val="none"/>
        </w:rPr>
      </w:pPr>
      <w:r>
        <w:rPr>
          <w:highlight w:val="none"/>
        </w:rPr>
        <w:t>机构编制：1 机关，2 事业单位，3 中央编办直接管理机构编制的群众团体，9 其他；</w:t>
      </w:r>
    </w:p>
    <w:p>
      <w:pPr>
        <w:spacing w:line="400" w:lineRule="exact"/>
        <w:ind w:firstLine="420" w:firstLineChars="200"/>
        <w:rPr>
          <w:highlight w:val="none"/>
        </w:rPr>
      </w:pPr>
      <w:r>
        <w:rPr>
          <w:highlight w:val="none"/>
        </w:rPr>
        <w:t>外交：1 外国常驻新闻机构，9 其他；</w:t>
      </w:r>
    </w:p>
    <w:p>
      <w:pPr>
        <w:spacing w:line="400" w:lineRule="exact"/>
        <w:ind w:firstLine="420" w:firstLineChars="200"/>
        <w:rPr>
          <w:highlight w:val="none"/>
        </w:rPr>
      </w:pPr>
      <w:r>
        <w:rPr>
          <w:highlight w:val="none"/>
        </w:rPr>
        <w:t>司法行政：1 律师执业机构，2 公证处，3 基层法律服务所，司法鉴定机构，5 仲裁委员会，9 其他；</w:t>
      </w:r>
    </w:p>
    <w:p>
      <w:pPr>
        <w:spacing w:line="400" w:lineRule="exact"/>
        <w:ind w:firstLine="420" w:firstLineChars="200"/>
        <w:rPr>
          <w:highlight w:val="none"/>
        </w:rPr>
      </w:pPr>
      <w:r>
        <w:rPr>
          <w:highlight w:val="none"/>
        </w:rPr>
        <w:t>文化：1 外国在华文化中心，9 其他；</w:t>
      </w:r>
    </w:p>
    <w:p>
      <w:pPr>
        <w:spacing w:line="400" w:lineRule="exact"/>
        <w:ind w:firstLine="420" w:firstLineChars="200"/>
        <w:rPr>
          <w:highlight w:val="none"/>
        </w:rPr>
      </w:pPr>
      <w:r>
        <w:rPr>
          <w:highlight w:val="none"/>
        </w:rPr>
        <w:t>民政：1 社会团体，2 民办非企业单位，3 基金会，9 其他；</w:t>
      </w:r>
    </w:p>
    <w:p>
      <w:pPr>
        <w:spacing w:line="400" w:lineRule="exact"/>
        <w:ind w:firstLine="420" w:firstLineChars="200"/>
        <w:rPr>
          <w:highlight w:val="none"/>
        </w:rPr>
      </w:pPr>
      <w:r>
        <w:rPr>
          <w:highlight w:val="none"/>
        </w:rPr>
        <w:t>旅游：1 外国旅游部门常驻代表机构，2 港澳台地区旅游部门常驻内地（大陆）代表机构，9 其他；</w:t>
      </w:r>
    </w:p>
    <w:p>
      <w:pPr>
        <w:spacing w:line="400" w:lineRule="exact"/>
        <w:ind w:firstLine="420" w:firstLineChars="200"/>
        <w:rPr>
          <w:highlight w:val="none"/>
        </w:rPr>
      </w:pPr>
      <w:r>
        <w:rPr>
          <w:highlight w:val="none"/>
        </w:rPr>
        <w:t>宗教：1 宗教活动场所，2 宗教院校，9 其他；</w:t>
      </w:r>
    </w:p>
    <w:p>
      <w:pPr>
        <w:spacing w:line="400" w:lineRule="exact"/>
        <w:ind w:firstLine="420" w:firstLineChars="200"/>
        <w:rPr>
          <w:highlight w:val="none"/>
        </w:rPr>
      </w:pPr>
      <w:r>
        <w:rPr>
          <w:rFonts w:hint="eastAsia"/>
          <w:highlight w:val="none"/>
        </w:rPr>
        <w:t>8 工会：1 基层工会，9 其他；</w:t>
      </w:r>
    </w:p>
    <w:p>
      <w:pPr>
        <w:spacing w:line="400" w:lineRule="exact"/>
        <w:ind w:firstLine="420" w:firstLineChars="200"/>
        <w:rPr>
          <w:highlight w:val="none"/>
        </w:rPr>
      </w:pPr>
      <w:r>
        <w:rPr>
          <w:rFonts w:hint="eastAsia"/>
          <w:highlight w:val="none"/>
        </w:rPr>
        <w:t>9 市场监管：1 企业，2 个体工商户，3 农民专业合作社；</w:t>
      </w:r>
    </w:p>
    <w:p>
      <w:pPr>
        <w:spacing w:line="400" w:lineRule="exact"/>
        <w:ind w:firstLine="420" w:firstLineChars="200"/>
        <w:rPr>
          <w:highlight w:val="none"/>
        </w:rPr>
      </w:pPr>
      <w:r>
        <w:rPr>
          <w:rFonts w:hint="eastAsia"/>
          <w:highlight w:val="none"/>
        </w:rPr>
        <w:t>A 中央军委改革和编制办公室：1 军队事业单位，9 其他；</w:t>
      </w:r>
    </w:p>
    <w:p>
      <w:pPr>
        <w:spacing w:line="400" w:lineRule="exact"/>
        <w:ind w:firstLine="420" w:firstLineChars="200"/>
        <w:rPr>
          <w:highlight w:val="none"/>
        </w:rPr>
      </w:pPr>
      <w:r>
        <w:rPr>
          <w:rFonts w:hint="eastAsia"/>
          <w:highlight w:val="none"/>
        </w:rPr>
        <w:t>N 农业：1 组级集体经济组织，2 村级集体经济组织，3 乡镇级集体经济组织，9 其他；</w:t>
      </w:r>
    </w:p>
    <w:p>
      <w:pPr>
        <w:spacing w:line="400" w:lineRule="exact"/>
        <w:ind w:firstLine="420" w:firstLineChars="200"/>
        <w:rPr>
          <w:highlight w:val="none"/>
        </w:rPr>
      </w:pPr>
      <w:r>
        <w:rPr>
          <w:rFonts w:hint="eastAsia"/>
          <w:highlight w:val="none"/>
        </w:rPr>
        <w:t>Y 其他：不再具体划分机构类别，统一用 1 表示。</w:t>
      </w:r>
    </w:p>
    <w:p>
      <w:pPr>
        <w:spacing w:line="400" w:lineRule="exact"/>
        <w:ind w:firstLine="420" w:firstLineChars="200"/>
        <w:rPr>
          <w:highlight w:val="none"/>
        </w:rPr>
      </w:pPr>
      <w:r>
        <w:rPr>
          <w:rFonts w:hint="eastAsia"/>
          <w:highlight w:val="none"/>
        </w:rPr>
        <w:t>第3-8位：登记管理机关行政区划码，使用阿拉伯数字表示。（参照《中华人民共和国行政区划代码》〔GB/T 2260〕）。</w:t>
      </w:r>
    </w:p>
    <w:p>
      <w:pPr>
        <w:spacing w:line="400" w:lineRule="exact"/>
        <w:ind w:firstLine="420" w:firstLineChars="200"/>
        <w:rPr>
          <w:highlight w:val="none"/>
        </w:rPr>
      </w:pPr>
      <w:r>
        <w:rPr>
          <w:rFonts w:hint="eastAsia"/>
          <w:highlight w:val="none"/>
        </w:rPr>
        <w:t>第9-17位：主体标识码（组织机构代码），使用阿拉伯数字或英文字母表示。（参照《全国组织机构代码编制规则》〔GB11714〕）。</w:t>
      </w:r>
    </w:p>
    <w:p>
      <w:pPr>
        <w:spacing w:line="400" w:lineRule="exact"/>
        <w:ind w:firstLine="420" w:firstLineChars="200"/>
        <w:rPr>
          <w:highlight w:val="none"/>
        </w:rPr>
      </w:pPr>
      <w:r>
        <w:rPr>
          <w:rFonts w:hint="eastAsia"/>
          <w:highlight w:val="none"/>
        </w:rPr>
        <w:t>第18位：校验码，使用阿拉伯数字或英文字母表示。</w:t>
      </w:r>
    </w:p>
    <w:p>
      <w:pPr>
        <w:spacing w:line="400" w:lineRule="exact"/>
        <w:ind w:firstLine="420" w:firstLineChars="200"/>
        <w:rPr>
          <w:highlight w:val="none"/>
        </w:rPr>
      </w:pPr>
      <w:r>
        <w:rPr>
          <w:rFonts w:hint="eastAsia"/>
          <w:highlight w:val="none"/>
        </w:rPr>
        <w:t>已经领取了统一社会信用代码的单位必须填写统一社会信用代码。在填写时，要按照《营业执照》或其他证照上的统一社会信用代码填写。尚未领取统一社会信用代码的单位</w:t>
      </w:r>
      <w:r>
        <w:rPr>
          <w:bCs/>
          <w:szCs w:val="21"/>
          <w:highlight w:val="none"/>
        </w:rPr>
        <w:t>填写</w:t>
      </w:r>
      <w:r>
        <w:rPr>
          <w:rFonts w:hint="eastAsia"/>
          <w:bCs/>
          <w:szCs w:val="21"/>
          <w:highlight w:val="none"/>
        </w:rPr>
        <w:t>原</w:t>
      </w:r>
      <w:r>
        <w:rPr>
          <w:bCs/>
          <w:szCs w:val="21"/>
          <w:highlight w:val="none"/>
        </w:rPr>
        <w:t>织机构代码</w:t>
      </w:r>
      <w:r>
        <w:rPr>
          <w:highlight w:val="none"/>
        </w:rPr>
        <w:t>。</w:t>
      </w:r>
    </w:p>
    <w:p>
      <w:pPr>
        <w:spacing w:line="400" w:lineRule="exact"/>
        <w:ind w:firstLine="420" w:firstLineChars="200"/>
        <w:rPr>
          <w:b w:val="0"/>
          <w:bCs w:val="0"/>
          <w:color w:val="auto"/>
          <w:highlight w:val="none"/>
        </w:rPr>
      </w:pPr>
      <w:r>
        <w:rPr>
          <w:rFonts w:eastAsia="黑体"/>
          <w:b w:val="0"/>
          <w:bCs w:val="0"/>
          <w:color w:val="auto"/>
          <w:highlight w:val="none"/>
        </w:rPr>
        <w:t>行业代码</w:t>
      </w:r>
      <w:r>
        <w:rPr>
          <w:rFonts w:hint="eastAsia" w:eastAsia="黑体"/>
          <w:b w:val="0"/>
          <w:bCs w:val="0"/>
          <w:color w:val="auto"/>
          <w:highlight w:val="none"/>
        </w:rPr>
        <w:t xml:space="preserve">  </w:t>
      </w:r>
      <w:r>
        <w:rPr>
          <w:b w:val="0"/>
          <w:bCs w:val="0"/>
          <w:color w:val="auto"/>
          <w:highlight w:val="none"/>
        </w:rPr>
        <w:t>对照《国民经济行业分类》（GB/T4754－2017）所选行业类别，填写行业小类代码。</w:t>
      </w:r>
    </w:p>
    <w:p>
      <w:pPr>
        <w:spacing w:line="400" w:lineRule="exact"/>
        <w:ind w:firstLine="420" w:firstLineChars="200"/>
        <w:rPr>
          <w:b w:val="0"/>
          <w:bCs w:val="0"/>
          <w:color w:val="auto"/>
          <w:highlight w:val="none"/>
        </w:rPr>
      </w:pPr>
      <w:r>
        <w:rPr>
          <w:rFonts w:eastAsia="黑体"/>
          <w:b w:val="0"/>
          <w:bCs w:val="0"/>
          <w:color w:val="auto"/>
          <w:highlight w:val="none"/>
        </w:rPr>
        <w:t>主要产品（服务）内容</w:t>
      </w:r>
      <w:r>
        <w:rPr>
          <w:rFonts w:hint="eastAsia" w:eastAsia="黑体"/>
          <w:b w:val="0"/>
          <w:bCs w:val="0"/>
          <w:color w:val="auto"/>
          <w:highlight w:val="none"/>
        </w:rPr>
        <w:t xml:space="preserve">  </w:t>
      </w:r>
      <w:r>
        <w:rPr>
          <w:b w:val="0"/>
          <w:bCs w:val="0"/>
          <w:color w:val="auto"/>
          <w:highlight w:val="none"/>
        </w:rPr>
        <w:t>根据法人证书所批准的业务范围填写。</w:t>
      </w:r>
    </w:p>
    <w:p>
      <w:pPr>
        <w:spacing w:line="400" w:lineRule="exact"/>
        <w:ind w:firstLine="420"/>
        <w:rPr>
          <w:b w:val="0"/>
          <w:bCs w:val="0"/>
          <w:color w:val="auto"/>
          <w:highlight w:val="none"/>
        </w:rPr>
      </w:pPr>
      <w:r>
        <w:rPr>
          <w:rFonts w:eastAsia="黑体"/>
          <w:b w:val="0"/>
          <w:bCs w:val="0"/>
          <w:color w:val="auto"/>
          <w:highlight w:val="none"/>
        </w:rPr>
        <w:t>科技企业孵化器</w:t>
      </w:r>
      <w:r>
        <w:rPr>
          <w:rFonts w:hint="eastAsia" w:eastAsia="黑体"/>
          <w:b w:val="0"/>
          <w:bCs w:val="0"/>
          <w:color w:val="auto"/>
          <w:highlight w:val="none"/>
        </w:rPr>
        <w:t xml:space="preserve">  </w:t>
      </w:r>
      <w:r>
        <w:rPr>
          <w:b w:val="0"/>
          <w:bCs w:val="0"/>
          <w:color w:val="auto"/>
          <w:highlight w:val="none"/>
        </w:rPr>
        <w:t>指以科技型创业企业为服务对象，以促进科技成果转化、培养高新技术企业和企业家为宗旨的科技创业服务载体。</w:t>
      </w:r>
    </w:p>
    <w:p>
      <w:pPr>
        <w:spacing w:line="400" w:lineRule="exact"/>
        <w:ind w:firstLine="420" w:firstLineChars="200"/>
        <w:rPr>
          <w:b w:val="0"/>
          <w:bCs w:val="0"/>
          <w:color w:val="auto"/>
          <w:highlight w:val="none"/>
        </w:rPr>
      </w:pPr>
      <w:r>
        <w:rPr>
          <w:rFonts w:hint="eastAsia" w:eastAsia="黑体"/>
          <w:b w:val="0"/>
          <w:bCs w:val="0"/>
          <w:color w:val="auto"/>
          <w:highlight w:val="none"/>
        </w:rPr>
        <w:t xml:space="preserve">在孵企业  </w:t>
      </w:r>
      <w:r>
        <w:rPr>
          <w:rFonts w:hint="eastAsia"/>
          <w:b w:val="0"/>
          <w:bCs w:val="0"/>
          <w:color w:val="auto"/>
          <w:highlight w:val="none"/>
        </w:rPr>
        <w:t>指报告期</w:t>
      </w:r>
      <w:r>
        <w:rPr>
          <w:b w:val="0"/>
          <w:bCs w:val="0"/>
          <w:color w:val="auto"/>
          <w:highlight w:val="none"/>
        </w:rPr>
        <w:t>内科技企业孵化器内在孵企业的总数。</w:t>
      </w:r>
    </w:p>
    <w:p>
      <w:pPr>
        <w:spacing w:line="400" w:lineRule="exact"/>
        <w:ind w:firstLine="420" w:firstLineChars="200"/>
        <w:rPr>
          <w:b w:val="0"/>
          <w:bCs w:val="0"/>
          <w:color w:val="auto"/>
          <w:highlight w:val="none"/>
        </w:rPr>
      </w:pPr>
      <w:r>
        <w:rPr>
          <w:rFonts w:eastAsia="黑体"/>
          <w:b w:val="0"/>
          <w:bCs w:val="0"/>
          <w:color w:val="auto"/>
          <w:highlight w:val="none"/>
        </w:rPr>
        <w:t>毕业企业</w:t>
      </w:r>
      <w:r>
        <w:rPr>
          <w:rFonts w:hint="eastAsia" w:eastAsia="黑体"/>
          <w:b w:val="0"/>
          <w:bCs w:val="0"/>
          <w:color w:val="auto"/>
          <w:highlight w:val="none"/>
        </w:rPr>
        <w:t xml:space="preserve">  </w:t>
      </w:r>
      <w:r>
        <w:rPr>
          <w:b w:val="0"/>
          <w:bCs w:val="0"/>
          <w:color w:val="auto"/>
          <w:highlight w:val="none"/>
        </w:rPr>
        <w:t>指曾在孵化器入驻并得到孵化器服务，符合所在孵化器毕业企业条件，现已迁出孵化器的企业。</w:t>
      </w:r>
    </w:p>
    <w:p>
      <w:pPr>
        <w:spacing w:line="400" w:lineRule="exact"/>
        <w:ind w:firstLine="420" w:firstLineChars="200"/>
        <w:rPr>
          <w:b w:val="0"/>
          <w:bCs w:val="0"/>
          <w:color w:val="auto"/>
          <w:highlight w:val="none"/>
        </w:rPr>
      </w:pPr>
      <w:r>
        <w:rPr>
          <w:rFonts w:eastAsia="黑体"/>
          <w:b w:val="0"/>
          <w:bCs w:val="0"/>
          <w:color w:val="auto"/>
          <w:highlight w:val="none"/>
        </w:rPr>
        <w:t>毕业企业</w:t>
      </w:r>
      <w:r>
        <w:rPr>
          <w:rFonts w:hint="eastAsia" w:eastAsia="黑体"/>
          <w:b w:val="0"/>
          <w:bCs w:val="0"/>
          <w:color w:val="auto"/>
          <w:highlight w:val="none"/>
        </w:rPr>
        <w:t xml:space="preserve">数  </w:t>
      </w:r>
      <w:r>
        <w:rPr>
          <w:b w:val="0"/>
          <w:bCs w:val="0"/>
          <w:color w:val="auto"/>
          <w:highlight w:val="none"/>
        </w:rPr>
        <w:t>指经大学科技园扶持，发展到一定规模后脱离大学科技园实现独立发展的企业。</w:t>
      </w:r>
    </w:p>
    <w:p>
      <w:pPr>
        <w:spacing w:line="400" w:lineRule="exact"/>
        <w:ind w:firstLine="420" w:firstLineChars="200"/>
        <w:rPr>
          <w:b w:val="0"/>
          <w:bCs w:val="0"/>
          <w:color w:val="auto"/>
          <w:highlight w:val="none"/>
        </w:rPr>
      </w:pPr>
      <w:r>
        <w:rPr>
          <w:rFonts w:eastAsia="黑体"/>
          <w:b w:val="0"/>
          <w:bCs w:val="0"/>
          <w:color w:val="auto"/>
          <w:highlight w:val="none"/>
        </w:rPr>
        <w:t>注册时间</w:t>
      </w:r>
      <w:r>
        <w:rPr>
          <w:rFonts w:hint="eastAsia" w:eastAsia="黑体"/>
          <w:b w:val="0"/>
          <w:bCs w:val="0"/>
          <w:color w:val="auto"/>
          <w:highlight w:val="none"/>
        </w:rPr>
        <w:t xml:space="preserve">  </w:t>
      </w:r>
      <w:r>
        <w:rPr>
          <w:b w:val="0"/>
          <w:bCs w:val="0"/>
          <w:color w:val="auto"/>
          <w:highlight w:val="none"/>
        </w:rPr>
        <w:t>指企业向工商行政管理部门进行登记，领取法人营业执照的时间。</w:t>
      </w:r>
    </w:p>
    <w:p>
      <w:pPr>
        <w:spacing w:line="400" w:lineRule="exact"/>
        <w:ind w:firstLine="420" w:firstLineChars="200"/>
        <w:rPr>
          <w:b w:val="0"/>
          <w:bCs w:val="0"/>
          <w:color w:val="auto"/>
          <w:highlight w:val="none"/>
        </w:rPr>
      </w:pPr>
      <w:r>
        <w:rPr>
          <w:b w:val="0"/>
          <w:bCs w:val="0"/>
          <w:color w:val="auto"/>
          <w:highlight w:val="none"/>
        </w:rPr>
        <w:t>注意：（1）正在筹建的企业不填；</w:t>
      </w:r>
    </w:p>
    <w:p>
      <w:pPr>
        <w:spacing w:line="400" w:lineRule="exact"/>
        <w:ind w:firstLine="965" w:firstLineChars="460"/>
        <w:rPr>
          <w:b w:val="0"/>
          <w:bCs w:val="0"/>
          <w:color w:val="auto"/>
          <w:highlight w:val="none"/>
        </w:rPr>
      </w:pPr>
      <w:r>
        <w:rPr>
          <w:b w:val="0"/>
          <w:bCs w:val="0"/>
          <w:color w:val="auto"/>
          <w:highlight w:val="none"/>
        </w:rPr>
        <w:t>（2）1949年以前成立的企业填写最早开工年份；</w:t>
      </w:r>
    </w:p>
    <w:p>
      <w:pPr>
        <w:spacing w:line="400" w:lineRule="exact"/>
        <w:ind w:firstLine="965" w:firstLineChars="460"/>
        <w:rPr>
          <w:b w:val="0"/>
          <w:bCs w:val="0"/>
          <w:color w:val="auto"/>
          <w:highlight w:val="none"/>
        </w:rPr>
      </w:pPr>
      <w:r>
        <w:rPr>
          <w:b w:val="0"/>
          <w:bCs w:val="0"/>
          <w:color w:val="auto"/>
          <w:highlight w:val="none"/>
        </w:rPr>
        <w:t>（3）合并或兼并的企业，按合并前主要企业的最早开业时间填写；</w:t>
      </w:r>
    </w:p>
    <w:p>
      <w:pPr>
        <w:spacing w:line="400" w:lineRule="exact"/>
        <w:ind w:firstLine="965" w:firstLineChars="460"/>
        <w:rPr>
          <w:b w:val="0"/>
          <w:bCs w:val="0"/>
          <w:color w:val="auto"/>
          <w:highlight w:val="none"/>
        </w:rPr>
      </w:pPr>
      <w:r>
        <w:rPr>
          <w:b w:val="0"/>
          <w:bCs w:val="0"/>
          <w:color w:val="auto"/>
          <w:highlight w:val="none"/>
        </w:rPr>
        <w:t>（4）分立企业按分立后各自领取法人营业执照的时间填写；</w:t>
      </w:r>
    </w:p>
    <w:p>
      <w:pPr>
        <w:spacing w:line="400" w:lineRule="exact"/>
        <w:ind w:firstLine="965" w:firstLineChars="460"/>
        <w:rPr>
          <w:b w:val="0"/>
          <w:bCs w:val="0"/>
          <w:color w:val="auto"/>
          <w:highlight w:val="none"/>
        </w:rPr>
      </w:pPr>
      <w:r>
        <w:rPr>
          <w:b w:val="0"/>
          <w:bCs w:val="0"/>
          <w:color w:val="auto"/>
          <w:highlight w:val="none"/>
        </w:rPr>
        <w:t>（5）与外方（含港、澳、台）合资的企业，按合资企业领取营业执照的时间填写。</w:t>
      </w:r>
    </w:p>
    <w:p>
      <w:pPr>
        <w:spacing w:line="400" w:lineRule="exact"/>
        <w:ind w:firstLine="420" w:firstLineChars="200"/>
        <w:rPr>
          <w:rFonts w:hint="eastAsia"/>
          <w:b w:val="0"/>
          <w:bCs w:val="0"/>
          <w:color w:val="auto"/>
          <w:szCs w:val="21"/>
          <w:highlight w:val="none"/>
        </w:rPr>
      </w:pPr>
      <w:r>
        <w:rPr>
          <w:rFonts w:eastAsia="黑体"/>
          <w:b w:val="0"/>
          <w:bCs w:val="0"/>
          <w:color w:val="auto"/>
          <w:highlight w:val="none"/>
        </w:rPr>
        <w:t>营业收入</w:t>
      </w:r>
      <w:r>
        <w:rPr>
          <w:rFonts w:hint="eastAsia" w:eastAsia="黑体"/>
          <w:b w:val="0"/>
          <w:bCs w:val="0"/>
          <w:color w:val="auto"/>
          <w:highlight w:val="none"/>
        </w:rPr>
        <w:t xml:space="preserve">  </w:t>
      </w:r>
      <w:r>
        <w:rPr>
          <w:rFonts w:hint="eastAsia" w:ascii="宋体" w:hAnsi="宋体" w:cs="宋体"/>
          <w:b w:val="0"/>
          <w:bCs w:val="0"/>
          <w:color w:val="auto"/>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b w:val="0"/>
          <w:bCs w:val="0"/>
          <w:color w:val="auto"/>
          <w:highlight w:val="none"/>
        </w:rPr>
      </w:pPr>
      <w:r>
        <w:rPr>
          <w:rFonts w:eastAsia="黑体"/>
          <w:b w:val="0"/>
          <w:bCs w:val="0"/>
          <w:color w:val="auto"/>
          <w:highlight w:val="none"/>
        </w:rPr>
        <w:t>高新技术企业</w:t>
      </w:r>
      <w:r>
        <w:rPr>
          <w:rFonts w:hint="eastAsia" w:eastAsia="黑体"/>
          <w:b w:val="0"/>
          <w:bCs w:val="0"/>
          <w:color w:val="auto"/>
          <w:highlight w:val="none"/>
        </w:rPr>
        <w:t xml:space="preserve">  </w:t>
      </w:r>
      <w:r>
        <w:rPr>
          <w:b w:val="0"/>
          <w:bCs w:val="0"/>
          <w:color w:val="auto"/>
          <w:highlight w:val="none"/>
        </w:rPr>
        <w:t>指经省、自治区、直辖市、计划单列市高新技术企业认定管理机构认定</w:t>
      </w:r>
      <w:r>
        <w:rPr>
          <w:rFonts w:hint="eastAsia"/>
          <w:b w:val="0"/>
          <w:bCs w:val="0"/>
          <w:color w:val="auto"/>
          <w:highlight w:val="none"/>
        </w:rPr>
        <w:t>，</w:t>
      </w:r>
      <w:r>
        <w:rPr>
          <w:b w:val="0"/>
          <w:bCs w:val="0"/>
          <w:color w:val="auto"/>
          <w:highlight w:val="none"/>
        </w:rPr>
        <w:t>并经全国高新技术企业认定管理工作领导小组备案，获得高新技术企业证书且在</w:t>
      </w:r>
      <w:r>
        <w:rPr>
          <w:rFonts w:hint="eastAsia"/>
          <w:b w:val="0"/>
          <w:bCs w:val="0"/>
          <w:color w:val="auto"/>
          <w:highlight w:val="none"/>
        </w:rPr>
        <w:t>有效期内</w:t>
      </w:r>
      <w:r>
        <w:rPr>
          <w:b w:val="0"/>
          <w:bCs w:val="0"/>
          <w:color w:val="auto"/>
          <w:highlight w:val="none"/>
        </w:rPr>
        <w:t>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工业互联网平台  </w:t>
      </w:r>
      <w:r>
        <w:rPr>
          <w:rFonts w:hint="eastAsia"/>
          <w:b w:val="0"/>
          <w:bCs w:val="0"/>
          <w:color w:val="auto"/>
          <w:highlight w:val="none"/>
        </w:rPr>
        <w:t>指面向制造业数字化转型需求，在支撑制造资源泛在连接、弹性供给、高效配置等方面，提供海量数据采集、汇聚、分析服务的平台。</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通过GB/T19001认证  </w:t>
      </w:r>
      <w:r>
        <w:rPr>
          <w:rFonts w:hint="eastAsia"/>
          <w:b w:val="0"/>
          <w:bCs w:val="0"/>
          <w:color w:val="auto"/>
          <w:highlight w:val="none"/>
        </w:rPr>
        <w:t>指已经获得</w:t>
      </w:r>
      <w:r>
        <w:rPr>
          <w:rFonts w:hint="eastAsia" w:eastAsia="黑体"/>
          <w:b w:val="0"/>
          <w:bCs w:val="0"/>
          <w:color w:val="auto"/>
          <w:highlight w:val="none"/>
        </w:rPr>
        <w:t>GB/T19001</w:t>
      </w:r>
      <w:r>
        <w:rPr>
          <w:rFonts w:hint="eastAsia"/>
          <w:b w:val="0"/>
          <w:bCs w:val="0"/>
          <w:color w:val="auto"/>
          <w:highlight w:val="none"/>
        </w:rPr>
        <w:t>认证证书的企业。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通过GB/T19580认证  </w:t>
      </w:r>
      <w:r>
        <w:rPr>
          <w:rFonts w:hint="eastAsia"/>
          <w:b w:val="0"/>
          <w:bCs w:val="0"/>
          <w:color w:val="auto"/>
          <w:highlight w:val="none"/>
        </w:rPr>
        <w:t>指已经获得GB/T19580认证证书的企业。</w:t>
      </w:r>
    </w:p>
    <w:p>
      <w:pPr>
        <w:spacing w:line="400" w:lineRule="exact"/>
        <w:ind w:firstLine="420" w:firstLineChars="200"/>
        <w:rPr>
          <w:rFonts w:hint="eastAsia" w:ascii="宋体" w:hAnsi="宋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战略性新兴产业领域  </w:t>
      </w:r>
      <w:r>
        <w:rPr>
          <w:rFonts w:hint="eastAsia" w:ascii="宋体" w:hAnsi="宋体"/>
          <w:b w:val="0"/>
          <w:bCs w:val="0"/>
          <w:color w:val="auto"/>
          <w:highlight w:val="none"/>
        </w:rPr>
        <w:t>按国家统计局2</w:t>
      </w:r>
      <w:r>
        <w:rPr>
          <w:rFonts w:ascii="宋体" w:hAnsi="宋体"/>
          <w:b w:val="0"/>
          <w:bCs w:val="0"/>
          <w:color w:val="auto"/>
          <w:highlight w:val="none"/>
        </w:rPr>
        <w:t>018</w:t>
      </w:r>
      <w:r>
        <w:rPr>
          <w:rFonts w:hint="eastAsia" w:ascii="宋体" w:hAnsi="宋体"/>
          <w:b w:val="0"/>
          <w:bCs w:val="0"/>
          <w:color w:val="auto"/>
          <w:highlight w:val="none"/>
        </w:rPr>
        <w:t>年公布的《战略性新兴产业分类（</w:t>
      </w:r>
      <w:r>
        <w:rPr>
          <w:rFonts w:ascii="宋体" w:hAnsi="宋体"/>
          <w:b w:val="0"/>
          <w:bCs w:val="0"/>
          <w:color w:val="auto"/>
          <w:highlight w:val="none"/>
        </w:rPr>
        <w:t>2018</w:t>
      </w:r>
      <w:r>
        <w:rPr>
          <w:rFonts w:hint="eastAsia" w:ascii="宋体" w:hAnsi="宋体"/>
          <w:b w:val="0"/>
          <w:bCs w:val="0"/>
          <w:color w:val="auto"/>
          <w:highlight w:val="none"/>
        </w:rPr>
        <w:t>）》填写，具体见附录1。</w:t>
      </w:r>
    </w:p>
    <w:p>
      <w:pPr>
        <w:spacing w:line="400" w:lineRule="exact"/>
        <w:ind w:firstLine="420" w:firstLineChars="200"/>
        <w:rPr>
          <w:rFonts w:hint="eastAsia" w:ascii="宋体" w:hAnsi="宋体"/>
          <w:b w:val="0"/>
          <w:bCs w:val="0"/>
          <w:color w:val="auto"/>
          <w:highlight w:val="none"/>
        </w:rPr>
      </w:pPr>
      <w:r>
        <w:rPr>
          <w:rFonts w:eastAsia="黑体"/>
          <w:b w:val="0"/>
          <w:bCs w:val="0"/>
          <w:color w:val="auto"/>
          <w:highlight w:val="none"/>
        </w:rPr>
        <w:t>企业所属</w:t>
      </w:r>
      <w:r>
        <w:rPr>
          <w:rFonts w:hint="eastAsia" w:eastAsia="黑体"/>
          <w:b w:val="0"/>
          <w:bCs w:val="0"/>
          <w:color w:val="auto"/>
          <w:highlight w:val="none"/>
        </w:rPr>
        <w:t xml:space="preserve">工业战略性新兴产业领域  </w:t>
      </w:r>
      <w:r>
        <w:rPr>
          <w:rFonts w:hint="eastAsia" w:ascii="宋体" w:hAnsi="宋体"/>
          <w:b w:val="0"/>
          <w:bCs w:val="0"/>
          <w:color w:val="auto"/>
          <w:highlight w:val="none"/>
        </w:rPr>
        <w:t>按国务院第五次全国经济普查领导小组办公室2023年公布的《工业战略性新兴产业分类目录（2023）》填写，具体见附录2。</w:t>
      </w:r>
    </w:p>
    <w:p>
      <w:pPr>
        <w:rPr>
          <w:rFonts w:hint="eastAsia" w:ascii="宋体" w:hAnsi="宋体"/>
          <w:b w:val="0"/>
          <w:bCs w:val="0"/>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60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8"/>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1B3E23"/>
    <w:rsid w:val="1C100E48"/>
    <w:rsid w:val="7188526E"/>
    <w:rsid w:val="7D291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link w:val="11"/>
    <w:qFormat/>
    <w:uiPriority w:val="0"/>
    <w:pPr>
      <w:jc w:val="center"/>
      <w:outlineLvl w:val="1"/>
    </w:pPr>
    <w:rPr>
      <w:rFonts w:ascii="宋体" w:hAnsi="宋体"/>
      <w:sz w:val="32"/>
    </w:rPr>
  </w:style>
  <w:style w:type="paragraph" w:styleId="6">
    <w:name w:val="heading 3"/>
    <w:basedOn w:val="1"/>
    <w:next w:val="1"/>
    <w:qFormat/>
    <w:uiPriority w:val="0"/>
    <w:pPr>
      <w:keepNext/>
      <w:keepLines/>
      <w:spacing w:line="413" w:lineRule="auto"/>
      <w:jc w:val="center"/>
      <w:outlineLvl w:val="2"/>
    </w:pPr>
    <w:rPr>
      <w:rFonts w:ascii="宋体" w:hAnsi="宋体"/>
      <w:b/>
      <w:bCs/>
      <w:sz w:val="28"/>
      <w:szCs w:val="32"/>
    </w:rPr>
  </w:style>
  <w:style w:type="character" w:default="1" w:styleId="9">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paragraph" w:styleId="3">
    <w:name w:val="Body Text Indent"/>
    <w:basedOn w:val="1"/>
    <w:next w:val="1"/>
    <w:qFormat/>
    <w:uiPriority w:val="0"/>
    <w:pPr>
      <w:spacing w:after="120"/>
      <w:ind w:left="420" w:leftChars="200"/>
    </w:pPr>
  </w:style>
  <w:style w:type="paragraph" w:customStyle="1" w:styleId="5">
    <w:name w:val="正文缩进1"/>
    <w:basedOn w:val="1"/>
    <w:qFormat/>
    <w:uiPriority w:val="0"/>
    <w:pPr>
      <w:ind w:firstLine="420" w:firstLineChars="200"/>
    </w:pPr>
  </w:style>
  <w:style w:type="paragraph" w:styleId="7">
    <w:name w:val="Body Text"/>
    <w:basedOn w:val="1"/>
    <w:unhideWhenUsed/>
    <w:qFormat/>
    <w:uiPriority w:val="0"/>
    <w:pPr>
      <w:spacing w:after="120"/>
    </w:pPr>
  </w:style>
  <w:style w:type="paragraph" w:styleId="8">
    <w:name w:val="footer"/>
    <w:basedOn w:val="1"/>
    <w:qFormat/>
    <w:uiPriority w:val="0"/>
    <w:pPr>
      <w:tabs>
        <w:tab w:val="center" w:pos="4153"/>
        <w:tab w:val="right" w:pos="8306"/>
      </w:tabs>
      <w:snapToGrid w:val="0"/>
      <w:jc w:val="left"/>
    </w:pPr>
    <w:rPr>
      <w:sz w:val="18"/>
      <w:szCs w:val="18"/>
    </w:rPr>
  </w:style>
  <w:style w:type="character" w:customStyle="1" w:styleId="11">
    <w:name w:val="标题 2 字符"/>
    <w:link w:val="4"/>
    <w:qFormat/>
    <w:uiPriority w:val="0"/>
    <w:rPr>
      <w:rFonts w:ascii="宋体" w:hAnsi="宋体"/>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sgcsphy</dc:creator>
  <cp:lastModifiedBy>sgcsphy</cp:lastModifiedBy>
  <dcterms:modified xsi:type="dcterms:W3CDTF">2025-02-14T07:42:47Z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